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6303" w:rsidRPr="006C78F0" w:rsidRDefault="00B86303" w:rsidP="00B86303">
      <w:pPr>
        <w:jc w:val="center"/>
        <w:rPr>
          <w:b/>
          <w:sz w:val="40"/>
          <w:szCs w:val="40"/>
          <w:lang w:val="es-ES"/>
        </w:rPr>
      </w:pPr>
      <w:r w:rsidRPr="006C78F0">
        <w:rPr>
          <w:b/>
          <w:sz w:val="40"/>
          <w:szCs w:val="40"/>
          <w:lang w:val="es-ES"/>
        </w:rPr>
        <w:t>SICLA</w:t>
      </w:r>
    </w:p>
    <w:p w:rsidR="00B86303" w:rsidRPr="006C78F0" w:rsidRDefault="00B86303" w:rsidP="00B86303">
      <w:pPr>
        <w:jc w:val="center"/>
        <w:rPr>
          <w:b/>
          <w:lang w:val="es-ES"/>
        </w:rPr>
      </w:pPr>
      <w:r w:rsidRPr="006C78F0">
        <w:rPr>
          <w:b/>
          <w:lang w:val="es-ES"/>
        </w:rPr>
        <w:t>SEMINARIO SOBRE IDENTIDAD CULTURAL LATINO</w:t>
      </w:r>
      <w:r>
        <w:rPr>
          <w:b/>
          <w:lang w:val="es-ES"/>
        </w:rPr>
        <w:t>-</w:t>
      </w:r>
      <w:r w:rsidRPr="006C78F0">
        <w:rPr>
          <w:b/>
          <w:lang w:val="es-ES"/>
        </w:rPr>
        <w:t>AMERICANA</w:t>
      </w:r>
    </w:p>
    <w:p w:rsidR="00B86303" w:rsidRDefault="00B86303" w:rsidP="00B86303">
      <w:pPr>
        <w:jc w:val="center"/>
        <w:rPr>
          <w:b/>
          <w:lang w:val="es-ES"/>
        </w:rPr>
      </w:pPr>
      <w:r>
        <w:rPr>
          <w:b/>
          <w:lang w:val="es-ES"/>
        </w:rPr>
        <w:t>IV SIMPOSIO INTERNACIONAL</w:t>
      </w:r>
    </w:p>
    <w:p w:rsidR="00B86303" w:rsidRDefault="00B86303" w:rsidP="00B86303">
      <w:pPr>
        <w:jc w:val="center"/>
        <w:rPr>
          <w:b/>
          <w:lang w:val="es-ES"/>
        </w:rPr>
      </w:pPr>
    </w:p>
    <w:p w:rsidR="00B86303" w:rsidRDefault="00B86303" w:rsidP="00B86303">
      <w:pPr>
        <w:jc w:val="center"/>
        <w:rPr>
          <w:b/>
          <w:lang w:val="es-ES"/>
        </w:rPr>
      </w:pPr>
    </w:p>
    <w:p w:rsidR="00B86303" w:rsidRDefault="00B86303" w:rsidP="00B86303">
      <w:pPr>
        <w:jc w:val="center"/>
        <w:rPr>
          <w:b/>
          <w:lang w:val="es-ES"/>
        </w:rPr>
      </w:pPr>
    </w:p>
    <w:p w:rsidR="00B86303" w:rsidRDefault="00B86303" w:rsidP="00B86303">
      <w:pPr>
        <w:jc w:val="center"/>
        <w:rPr>
          <w:b/>
          <w:lang w:val="es-ES"/>
        </w:rPr>
      </w:pPr>
    </w:p>
    <w:p w:rsidR="00B86303" w:rsidRPr="006C78F0" w:rsidRDefault="00B86303" w:rsidP="00B86303">
      <w:pPr>
        <w:jc w:val="center"/>
        <w:rPr>
          <w:b/>
          <w:lang w:val="es-ES"/>
        </w:rPr>
      </w:pPr>
    </w:p>
    <w:p w:rsidR="00B86303" w:rsidRDefault="00B86303" w:rsidP="00B86303">
      <w:pPr>
        <w:jc w:val="center"/>
        <w:rPr>
          <w:b/>
          <w:lang w:val="es-ES"/>
        </w:rPr>
      </w:pPr>
    </w:p>
    <w:p w:rsidR="00B86303" w:rsidRDefault="00B86303" w:rsidP="00B86303">
      <w:pPr>
        <w:jc w:val="center"/>
        <w:rPr>
          <w:b/>
          <w:lang w:val="es-ES"/>
        </w:rPr>
      </w:pPr>
    </w:p>
    <w:p w:rsidR="00B86303" w:rsidRDefault="00B86303" w:rsidP="00B86303">
      <w:pPr>
        <w:jc w:val="center"/>
        <w:rPr>
          <w:b/>
          <w:lang w:val="es-ES"/>
        </w:rPr>
      </w:pPr>
    </w:p>
    <w:p w:rsidR="00B86303" w:rsidRDefault="00B86303" w:rsidP="00B86303">
      <w:pPr>
        <w:jc w:val="center"/>
        <w:rPr>
          <w:b/>
          <w:sz w:val="32"/>
          <w:szCs w:val="32"/>
          <w:lang w:val="es-ES"/>
        </w:rPr>
      </w:pPr>
      <w:r>
        <w:rPr>
          <w:b/>
          <w:noProof/>
          <w:sz w:val="32"/>
          <w:szCs w:val="32"/>
          <w:lang w:val="es-MX" w:eastAsia="es-MX"/>
        </w:rPr>
        <mc:AlternateContent>
          <mc:Choice Requires="wps">
            <w:drawing>
              <wp:inline distT="0" distB="0" distL="0" distR="0">
                <wp:extent cx="5610225" cy="381000"/>
                <wp:effectExtent l="9525" t="57150" r="12065" b="9525"/>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610225" cy="381000"/>
                        </a:xfrm>
                        <a:prstGeom prst="rect">
                          <a:avLst/>
                        </a:prstGeom>
                        <a:extLst>
                          <a:ext uri="{AF507438-7753-43E0-B8FC-AC1667EBCBE1}">
                            <a14:hiddenEffects xmlns:a14="http://schemas.microsoft.com/office/drawing/2010/main">
                              <a:effectLst/>
                            </a14:hiddenEffects>
                          </a:ext>
                        </a:extLst>
                      </wps:spPr>
                      <wps:txbx>
                        <w:txbxContent>
                          <w:p w:rsidR="00B86303" w:rsidRDefault="00B86303" w:rsidP="00B86303">
                            <w:pPr>
                              <w:pStyle w:val="NormalWeb"/>
                              <w:spacing w:before="0" w:beforeAutospacing="0" w:after="0" w:afterAutospacing="0"/>
                              <w:jc w:val="center"/>
                            </w:pPr>
                            <w:r>
                              <w:rPr>
                                <w:color w:val="000000"/>
                                <w:sz w:val="72"/>
                                <w:szCs w:val="72"/>
                                <w14:textOutline w14:w="9525" w14:cap="flat" w14:cmpd="sng" w14:algn="ctr">
                                  <w14:solidFill>
                                    <w14:srgbClr w14:val="000000"/>
                                  </w14:solidFill>
                                  <w14:prstDash w14:val="solid"/>
                                  <w14:round/>
                                </w14:textOutline>
                              </w:rPr>
                              <w:t>LA LARGA MARCHA HACIA LA LIBERTAD</w:t>
                            </w:r>
                          </w:p>
                        </w:txbxContent>
                      </wps:txbx>
                      <wps:bodyPr wrap="square" numCol="1" fromWordArt="1">
                        <a:prstTxWarp prst="textCanDown">
                          <a:avLst>
                            <a:gd name="adj" fmla="val 33333"/>
                          </a:avLst>
                        </a:prstTxWarp>
                        <a:spAutoFit/>
                      </wps:bodyPr>
                    </wps:wsp>
                  </a:graphicData>
                </a:graphic>
              </wp:inline>
            </w:drawing>
          </mc:Choice>
          <mc:Fallback>
            <w:pict>
              <v:shapetype id="_x0000_t202" coordsize="21600,21600" o:spt="202" path="m,l,21600r21600,l21600,xe">
                <v:stroke joinstyle="miter"/>
                <v:path gradientshapeok="t" o:connecttype="rect"/>
              </v:shapetype>
              <v:shape id="Cuadro de texto 1" o:spid="_x0000_s1026" type="#_x0000_t202" style="width:441.75pt;height:3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Cb6XgIAAKsEAAAOAAAAZHJzL2Uyb0RvYy54bWysVE2PmzAQvVfqf7B8zwL5FlqyStikl35J&#10;m2rPDjaBFntc2wlEVf97x4akq+2lqsrBYHvmzcx7M9w/dLIhZ2FsDSqjyV1MiVAF8FodM/plvxst&#10;KbGOKc4aUCKjF2Hpw+rtm/tWp2IMFTRcGIIgyqatzmjlnE6jyBaVkMzegRYKL0swkjncmmPEDWsR&#10;XTbROI7nUQuGawOFsBZPH/tLugr4ZSkK96ksrXCkySjm5sJqwnrwa7S6Z+nRMF3VxZAG+4csJKsV&#10;Br1BPTLHyMnUf0DJujBgoXR3BcgIyrIuRKgBq0niV9U8VUyLUAuSY/WNJvv/YIuP58+G1By1o0Qx&#10;iRLlJ8YNEC6IE50DkniSWm1TtH3SaO26DXTewRds9XsovlmiIK+YOoq1MdBWgnFM0kMOx6GU/UUj&#10;fjjdI/SW16hHgI9e4PfBrI90aD8ARxd2chCidaWRPioSRzAFVPRyUxERSYGHs3kSj8czSgq8myyT&#10;OA4yRyy9emtj3TsBkviPjBrskoDOzu+tw2LR9GrigyEwng9fvao/1rtZvJhOlqPFYjYZTSfbeLRZ&#10;7vLROk/m88V2k2+2yU8PmkzTquZcqG3oRnttsmT6dyIO7d63x63NRAC7Zvs6RqgAs76+Q/aBYs9q&#10;z6/rDt2g6wH4BclucQoyar+fmBEo3EnmgEODapUG5DOO2doEuTwRnp5998yMHjj0rZIz9QhtPweB&#10;Sm955ENbMf4VoWSD43VmDZn4x3cWkj0YD7T3uN7X6jUKv6uDJr5D+kzRx29wIoL3ML1+5F7ug9Xv&#10;f8zqFwAAAP//AwBQSwMEFAAGAAgAAAAhAPodA7bZAAAABAEAAA8AAABkcnMvZG93bnJldi54bWxM&#10;j81OwzAQhO9IvIO1lbhRu6BWUYhTVfxIHLhQwn0bL0nUeB3F2yZ9ewwXuKw0mtHMt8V29r060xi7&#10;wBZWSwOKuA6u48ZC9fFym4GKguywD0wWLhRhW15fFZi7MPE7nffSqFTCMUcLrciQax3rljzGZRiI&#10;k/cVRo+S5NhoN+KUyn2v74zZaI8dp4UWB3psqT7uT96CiNutLtWzj6+f89vT1Jp6jZW1N4t59wBK&#10;aJa/MPzgJ3QoE9MhnNhF1VtIj8jvTV6W3a9BHSxsjAFdFvo/fPkNAAD//wMAUEsBAi0AFAAGAAgA&#10;AAAhALaDOJL+AAAA4QEAABMAAAAAAAAAAAAAAAAAAAAAAFtDb250ZW50X1R5cGVzXS54bWxQSwEC&#10;LQAUAAYACAAAACEAOP0h/9YAAACUAQAACwAAAAAAAAAAAAAAAAAvAQAAX3JlbHMvLnJlbHNQSwEC&#10;LQAUAAYACAAAACEARRwm+l4CAACrBAAADgAAAAAAAAAAAAAAAAAuAgAAZHJzL2Uyb0RvYy54bWxQ&#10;SwECLQAUAAYACAAAACEA+h0DttkAAAAEAQAADwAAAAAAAAAAAAAAAAC4BAAAZHJzL2Rvd25yZXYu&#10;eG1sUEsFBgAAAAAEAAQA8wAAAL4FAAAAAA==&#10;" filled="f" stroked="f">
                <o:lock v:ext="edit" shapetype="t"/>
                <v:textbox style="mso-fit-shape-to-text:t">
                  <w:txbxContent>
                    <w:p w:rsidR="00B86303" w:rsidRDefault="00B86303" w:rsidP="00B86303">
                      <w:pPr>
                        <w:pStyle w:val="NormalWeb"/>
                        <w:spacing w:before="0" w:beforeAutospacing="0" w:after="0" w:afterAutospacing="0"/>
                        <w:jc w:val="center"/>
                      </w:pPr>
                      <w:r>
                        <w:rPr>
                          <w:color w:val="000000"/>
                          <w:sz w:val="72"/>
                          <w:szCs w:val="72"/>
                          <w14:textOutline w14:w="9525" w14:cap="flat" w14:cmpd="sng" w14:algn="ctr">
                            <w14:solidFill>
                              <w14:srgbClr w14:val="000000"/>
                            </w14:solidFill>
                            <w14:prstDash w14:val="solid"/>
                            <w14:round/>
                          </w14:textOutline>
                        </w:rPr>
                        <w:t>LA LARGA MARCHA HACIA LA LIBERTAD</w:t>
                      </w:r>
                    </w:p>
                  </w:txbxContent>
                </v:textbox>
                <w10:anchorlock/>
              </v:shape>
            </w:pict>
          </mc:Fallback>
        </mc:AlternateContent>
      </w:r>
    </w:p>
    <w:p w:rsidR="00B86303" w:rsidRDefault="00B86303" w:rsidP="00B86303">
      <w:pPr>
        <w:jc w:val="center"/>
        <w:rPr>
          <w:b/>
          <w:lang w:val="es-ES"/>
        </w:rPr>
      </w:pPr>
      <w:r w:rsidRPr="006C78F0">
        <w:rPr>
          <w:b/>
          <w:lang w:val="es-ES"/>
        </w:rPr>
        <w:t>HISTORIA, PENSAMIENTO</w:t>
      </w:r>
      <w:r>
        <w:rPr>
          <w:b/>
          <w:lang w:val="es-ES"/>
        </w:rPr>
        <w:t xml:space="preserve"> Y </w:t>
      </w:r>
      <w:r w:rsidRPr="006C78F0">
        <w:rPr>
          <w:b/>
          <w:lang w:val="es-ES"/>
        </w:rPr>
        <w:t>CULTURA</w:t>
      </w:r>
    </w:p>
    <w:p w:rsidR="00B86303" w:rsidRDefault="00B86303" w:rsidP="00B86303">
      <w:pPr>
        <w:jc w:val="center"/>
        <w:rPr>
          <w:b/>
          <w:lang w:val="es-ES"/>
        </w:rPr>
      </w:pPr>
    </w:p>
    <w:p w:rsidR="00B86303" w:rsidRPr="00E908EA" w:rsidRDefault="00B86303" w:rsidP="00B86303">
      <w:pPr>
        <w:jc w:val="right"/>
        <w:rPr>
          <w:b/>
          <w:i/>
          <w:sz w:val="20"/>
          <w:szCs w:val="20"/>
          <w:lang w:val="es-ES"/>
        </w:rPr>
      </w:pPr>
      <w:r w:rsidRPr="00E908EA">
        <w:rPr>
          <w:b/>
          <w:i/>
          <w:sz w:val="20"/>
          <w:szCs w:val="20"/>
          <w:lang w:val="es-ES"/>
        </w:rPr>
        <w:t>EDITORES:</w:t>
      </w:r>
    </w:p>
    <w:p w:rsidR="00B86303" w:rsidRDefault="00B86303" w:rsidP="00B86303">
      <w:pPr>
        <w:jc w:val="right"/>
        <w:rPr>
          <w:b/>
          <w:i/>
          <w:sz w:val="20"/>
          <w:szCs w:val="20"/>
          <w:lang w:val="es-ES"/>
        </w:rPr>
      </w:pPr>
      <w:r w:rsidRPr="00E908EA">
        <w:rPr>
          <w:b/>
          <w:i/>
          <w:sz w:val="20"/>
          <w:szCs w:val="20"/>
          <w:lang w:val="es-ES"/>
        </w:rPr>
        <w:t xml:space="preserve"> JACINTO CHOZA</w:t>
      </w:r>
      <w:r>
        <w:rPr>
          <w:b/>
          <w:i/>
          <w:sz w:val="20"/>
          <w:szCs w:val="20"/>
          <w:lang w:val="es-ES"/>
        </w:rPr>
        <w:t xml:space="preserve">, </w:t>
      </w:r>
      <w:r w:rsidRPr="004573BF">
        <w:rPr>
          <w:b/>
          <w:i/>
          <w:sz w:val="20"/>
          <w:szCs w:val="20"/>
          <w:lang w:val="es-ES"/>
        </w:rPr>
        <w:t xml:space="preserve"> </w:t>
      </w:r>
      <w:r w:rsidRPr="00E908EA">
        <w:rPr>
          <w:b/>
          <w:i/>
          <w:sz w:val="20"/>
          <w:szCs w:val="20"/>
          <w:lang w:val="es-ES"/>
        </w:rPr>
        <w:t xml:space="preserve">SENY HERNÁNDEZ, </w:t>
      </w:r>
    </w:p>
    <w:p w:rsidR="00B86303" w:rsidRPr="00E908EA" w:rsidRDefault="00B86303" w:rsidP="00B86303">
      <w:pPr>
        <w:jc w:val="right"/>
        <w:rPr>
          <w:b/>
          <w:sz w:val="20"/>
          <w:szCs w:val="20"/>
          <w:lang w:val="es-ES"/>
        </w:rPr>
      </w:pPr>
      <w:r w:rsidRPr="00E908EA">
        <w:rPr>
          <w:b/>
          <w:i/>
          <w:sz w:val="20"/>
          <w:szCs w:val="20"/>
          <w:lang w:val="es-ES"/>
        </w:rPr>
        <w:t>JUAN J. PADIAL Y MARIO RAMOS-REYES</w:t>
      </w:r>
      <w:r>
        <w:rPr>
          <w:b/>
          <w:sz w:val="20"/>
          <w:szCs w:val="20"/>
          <w:lang w:val="es-ES"/>
        </w:rPr>
        <w:t>.</w:t>
      </w:r>
    </w:p>
    <w:p w:rsidR="00B86303" w:rsidRDefault="00B86303" w:rsidP="00B86303">
      <w:pPr>
        <w:jc w:val="center"/>
        <w:rPr>
          <w:b/>
          <w:lang w:val="es-ES"/>
        </w:rPr>
      </w:pPr>
    </w:p>
    <w:p w:rsidR="00B86303" w:rsidRDefault="00B86303" w:rsidP="00B86303">
      <w:pPr>
        <w:jc w:val="center"/>
        <w:rPr>
          <w:b/>
          <w:lang w:val="es-ES"/>
        </w:rPr>
      </w:pPr>
    </w:p>
    <w:p w:rsidR="00B86303" w:rsidRDefault="00B86303" w:rsidP="00B86303">
      <w:pPr>
        <w:pStyle w:val="Sinespaciado"/>
        <w:jc w:val="center"/>
        <w:rPr>
          <w:b/>
          <w:lang w:val="es-ES"/>
        </w:rPr>
      </w:pPr>
    </w:p>
    <w:p w:rsidR="00B86303" w:rsidRDefault="00B86303" w:rsidP="00B86303">
      <w:pPr>
        <w:pStyle w:val="Sinespaciado"/>
        <w:jc w:val="center"/>
        <w:rPr>
          <w:b/>
          <w:lang w:val="es-ES"/>
        </w:rPr>
      </w:pPr>
    </w:p>
    <w:p w:rsidR="00B86303" w:rsidRDefault="00B86303" w:rsidP="00B86303">
      <w:pPr>
        <w:pStyle w:val="Sinespaciado"/>
        <w:jc w:val="center"/>
        <w:rPr>
          <w:b/>
          <w:lang w:val="es-ES"/>
        </w:rPr>
      </w:pPr>
    </w:p>
    <w:p w:rsidR="00B86303" w:rsidRDefault="00B86303" w:rsidP="00B86303">
      <w:pPr>
        <w:pStyle w:val="Sinespaciado"/>
        <w:jc w:val="center"/>
        <w:rPr>
          <w:b/>
          <w:lang w:val="es-ES"/>
        </w:rPr>
      </w:pPr>
    </w:p>
    <w:p w:rsidR="00B86303" w:rsidRDefault="00B86303" w:rsidP="00B86303">
      <w:pPr>
        <w:pStyle w:val="Sinespaciado"/>
        <w:jc w:val="center"/>
        <w:rPr>
          <w:b/>
          <w:lang w:val="es-ES"/>
        </w:rPr>
      </w:pPr>
    </w:p>
    <w:p w:rsidR="00B86303" w:rsidRPr="00E908EA" w:rsidRDefault="00B86303" w:rsidP="00B86303">
      <w:pPr>
        <w:pStyle w:val="Sinespaciado"/>
        <w:jc w:val="center"/>
        <w:rPr>
          <w:b/>
          <w:lang w:val="es-ES"/>
        </w:rPr>
      </w:pPr>
      <w:r w:rsidRPr="00E908EA">
        <w:rPr>
          <w:b/>
          <w:lang w:val="es-ES"/>
        </w:rPr>
        <w:t>ASUNCIÓN-PARAGUAY</w:t>
      </w:r>
    </w:p>
    <w:p w:rsidR="00B86303" w:rsidRPr="00E908EA" w:rsidRDefault="00B86303" w:rsidP="00B86303">
      <w:pPr>
        <w:pStyle w:val="Sinespaciado"/>
        <w:jc w:val="center"/>
        <w:rPr>
          <w:b/>
          <w:lang w:val="es-ES"/>
        </w:rPr>
      </w:pPr>
      <w:r w:rsidRPr="00E908EA">
        <w:rPr>
          <w:b/>
          <w:lang w:val="es-ES"/>
        </w:rPr>
        <w:t>JUNIO</w:t>
      </w:r>
    </w:p>
    <w:p w:rsidR="00B86303" w:rsidRPr="00E908EA" w:rsidRDefault="00B86303" w:rsidP="00B86303">
      <w:pPr>
        <w:pStyle w:val="Sinespaciado"/>
        <w:jc w:val="center"/>
        <w:rPr>
          <w:b/>
          <w:lang w:val="es-ES"/>
        </w:rPr>
      </w:pPr>
      <w:r w:rsidRPr="00E908EA">
        <w:rPr>
          <w:b/>
          <w:lang w:val="es-ES"/>
        </w:rPr>
        <w:t>2011</w:t>
      </w:r>
    </w:p>
    <w:p w:rsidR="00241D1D" w:rsidRDefault="00241D1D"/>
    <w:p w:rsidR="00B86303" w:rsidRDefault="00B86303"/>
    <w:p w:rsidR="00B86303" w:rsidRDefault="00B86303"/>
    <w:p w:rsidR="00B86303" w:rsidRDefault="00B86303" w:rsidP="00B86303">
      <w:pPr>
        <w:jc w:val="left"/>
        <w:rPr>
          <w:b/>
          <w:lang w:val="es-ES"/>
        </w:rPr>
      </w:pPr>
      <w:r>
        <w:rPr>
          <w:lang w:val="es-EC"/>
        </w:rPr>
        <w:lastRenderedPageBreak/>
        <w:t>12.-</w:t>
      </w:r>
      <w:r w:rsidRPr="00D81952">
        <w:rPr>
          <w:b/>
          <w:lang w:val="es-ES"/>
        </w:rPr>
        <w:t xml:space="preserve"> </w:t>
      </w:r>
      <w:r w:rsidRPr="00446943">
        <w:rPr>
          <w:b/>
          <w:lang w:val="es-ES"/>
        </w:rPr>
        <w:t xml:space="preserve">Carlos Mundt, Universidad Tres de Febrero de Buenos Aires, Argentina: </w:t>
      </w:r>
      <w:r>
        <w:rPr>
          <w:b/>
          <w:lang w:val="es-ES"/>
        </w:rPr>
        <w:t xml:space="preserve">Identidad e </w:t>
      </w:r>
      <w:r w:rsidRPr="00446943">
        <w:rPr>
          <w:b/>
          <w:lang w:val="es-ES"/>
        </w:rPr>
        <w:t>Independencia</w:t>
      </w:r>
      <w:r>
        <w:rPr>
          <w:b/>
          <w:lang w:val="es-ES"/>
        </w:rPr>
        <w:t xml:space="preserve">: </w:t>
      </w:r>
      <w:r w:rsidRPr="00446943">
        <w:rPr>
          <w:b/>
          <w:lang w:val="es-ES"/>
        </w:rPr>
        <w:t xml:space="preserve">del </w:t>
      </w:r>
      <w:r>
        <w:rPr>
          <w:b/>
          <w:lang w:val="es-ES"/>
        </w:rPr>
        <w:t>N</w:t>
      </w:r>
      <w:r w:rsidRPr="00446943">
        <w:rPr>
          <w:b/>
          <w:lang w:val="es-ES"/>
        </w:rPr>
        <w:t xml:space="preserve">uevo </w:t>
      </w:r>
      <w:r>
        <w:rPr>
          <w:b/>
          <w:lang w:val="es-ES"/>
        </w:rPr>
        <w:t>M</w:t>
      </w:r>
      <w:r w:rsidRPr="00446943">
        <w:rPr>
          <w:b/>
          <w:lang w:val="es-ES"/>
        </w:rPr>
        <w:t>undo a un mundo nuevo.</w:t>
      </w:r>
    </w:p>
    <w:p w:rsidR="00B86303" w:rsidRDefault="00B86303" w:rsidP="00B86303">
      <w:pPr>
        <w:jc w:val="left"/>
        <w:rPr>
          <w:b/>
          <w:lang w:val="es-ES"/>
        </w:rPr>
      </w:pPr>
    </w:p>
    <w:p w:rsidR="00B86303" w:rsidRPr="0095029B" w:rsidRDefault="00B86303" w:rsidP="00B86303">
      <w:pPr>
        <w:ind w:firstLine="720"/>
        <w:rPr>
          <w:lang w:val="es-ES"/>
        </w:rPr>
      </w:pPr>
      <w:r w:rsidRPr="0095029B">
        <w:rPr>
          <w:lang w:val="es-ES"/>
        </w:rPr>
        <w:t>Hispanoamérica transita en estos momentos el Bicentenario de sus gestas autonomistas y libertadoras. Nacimos a la vida independiente con el declive del Imperio Español, jaqueado por el ascenso de dos nuevas potencias europeas: el poder económico de la Inglaterra de la Primera Revolución Industrial y el poder político de la Francia de la Revolución de 1789.</w:t>
      </w:r>
    </w:p>
    <w:p w:rsidR="00B86303" w:rsidRPr="0095029B" w:rsidRDefault="00B86303" w:rsidP="00B86303">
      <w:pPr>
        <w:ind w:firstLine="720"/>
        <w:rPr>
          <w:lang w:val="es-ES"/>
        </w:rPr>
      </w:pPr>
      <w:r w:rsidRPr="0095029B">
        <w:rPr>
          <w:lang w:val="es-ES"/>
        </w:rPr>
        <w:t>Nuestro Centenario encontró a todas las repúblicas americanas ante el apogeo del Imperio Británico, la expansión continental de Estados Unidos y el fin del siglo de paz europea inaugurado con la caída de Napoleón y la Paz de Viena.</w:t>
      </w:r>
    </w:p>
    <w:p w:rsidR="00B86303" w:rsidRDefault="00B86303" w:rsidP="00B86303">
      <w:pPr>
        <w:ind w:firstLine="720"/>
        <w:rPr>
          <w:lang w:val="es-ES"/>
        </w:rPr>
      </w:pPr>
      <w:r w:rsidRPr="0095029B">
        <w:rPr>
          <w:lang w:val="es-ES"/>
        </w:rPr>
        <w:t>El Bicentenario nos enfrenta al fin de la hegemonía unilateral de los Estados Unidos y los procesos de globalización y diversidad en los ámbitos de la naturaleza y de la cultura.</w:t>
      </w:r>
    </w:p>
    <w:p w:rsidR="00B86303" w:rsidRDefault="00B86303" w:rsidP="00B86303">
      <w:pPr>
        <w:ind w:firstLine="720"/>
        <w:rPr>
          <w:lang w:val="es-ES"/>
        </w:rPr>
      </w:pPr>
      <w:r w:rsidRPr="0095029B">
        <w:rPr>
          <w:lang w:val="es-ES"/>
        </w:rPr>
        <w:t>Nacimos cuando el poder estaba al otro lado del Atlántico, cumplimos un siglo cuando ese poder cruzaba decididamente a este lado del océano y nuestros 200 años nos hallan con el balance de poder sobre el Pacífico.</w:t>
      </w:r>
    </w:p>
    <w:p w:rsidR="00B86303" w:rsidRDefault="00B86303" w:rsidP="00B86303">
      <w:pPr>
        <w:ind w:firstLine="720"/>
        <w:rPr>
          <w:lang w:val="es-ES"/>
        </w:rPr>
      </w:pPr>
      <w:r w:rsidRPr="0095029B">
        <w:rPr>
          <w:lang w:val="es-ES"/>
        </w:rPr>
        <w:t xml:space="preserve">Como siguiendo el camino del sol, centro de todas las grandes civilizaciones precolombinas, la historia de América Latina ha estado fuertemente influída por los sucesos del Norte. Nuestra identidad, fruto de nuestra cultura, no es comprensible fuera del largo proceso de su persistente recreación. </w:t>
      </w:r>
    </w:p>
    <w:p w:rsidR="00B86303" w:rsidRDefault="00B86303" w:rsidP="00B86303">
      <w:pPr>
        <w:ind w:firstLine="720"/>
        <w:rPr>
          <w:lang w:val="es-ES"/>
        </w:rPr>
      </w:pPr>
      <w:r w:rsidRPr="0095029B">
        <w:rPr>
          <w:lang w:val="es-ES"/>
        </w:rPr>
        <w:t>En el largo recorrido de más de medio milenio desde la llegada de Colón a nuestro continente, los siglos XVI y XVII cimentaron la nueva trama étnica y cultural formada por los pueblos originarios, los conquistadores y colonizadores españoles y portugueses y los esclavos africanos. Se iba gestando, a la par, una nueva realidad de mestizos y criollos, gestores estos últimos –a medida que avanzaba el siglo XVIII– de la incipiente independencia americana.</w:t>
      </w:r>
    </w:p>
    <w:p w:rsidR="00B86303" w:rsidRDefault="00B86303" w:rsidP="00B86303">
      <w:pPr>
        <w:ind w:firstLine="720"/>
        <w:rPr>
          <w:lang w:val="es-ES"/>
        </w:rPr>
      </w:pPr>
      <w:r w:rsidRPr="0095029B">
        <w:rPr>
          <w:lang w:val="es-ES"/>
        </w:rPr>
        <w:t>En estos 200 años independientes, el flujo de la mayor migración de los tiempos modernos arrojó a millones de europeos a nuestros territorios, alterando sustancialmente la anterior trama racial y cultural. De ese último impulso migratorio provenimos decenas de millones de nuevos americanos, íntima urdimbre tendida sobre la trama anterior que nos condiciona y, a la par, condicionamos.</w:t>
      </w:r>
    </w:p>
    <w:p w:rsidR="00B86303" w:rsidRPr="0095029B" w:rsidRDefault="00B86303" w:rsidP="00B86303">
      <w:pPr>
        <w:ind w:firstLine="720"/>
        <w:rPr>
          <w:lang w:val="es-ES"/>
        </w:rPr>
      </w:pPr>
      <w:r w:rsidRPr="0095029B">
        <w:rPr>
          <w:lang w:val="es-ES"/>
        </w:rPr>
        <w:t xml:space="preserve">Cabe preguntarnos en este momento de bisagra de la historia mundial, cuando este  Bicentenario muestra el despliegue de las profundas reivindicaciones de nuestros pueblos originarios, el lugar de mestizos, negros y mulatos largamente silenciados y opacados ¿qué será de </w:t>
      </w:r>
      <w:r w:rsidRPr="0095029B">
        <w:rPr>
          <w:lang w:val="es-ES"/>
        </w:rPr>
        <w:lastRenderedPageBreak/>
        <w:t xml:space="preserve">América Latina en este tercer siglo independiente cuando estas ya centenarias raíces europeas se hayan hundido en tierra americana para gestar un mundo nuevo? ¿Seremos otra estirpe criolla? Seguramente, una estirpe  americana. América siempre ha sido anclaje al territorio, al lugar, al paisaje, al espacio. A la tierra largamente venerada desde la andina Pachamama hasta las ubérrimas pampas agrícolas del Plata. Nos ata más la tierra que la sangre y, sobre ella, como un hilván invisible corre la lengua española o portuguesa diluyendo todas las distancias, fusionando etnias, borrando orígenes a la vez que los rescata. </w:t>
      </w:r>
    </w:p>
    <w:p w:rsidR="00B86303" w:rsidRPr="0095029B" w:rsidRDefault="00B86303" w:rsidP="00B86303">
      <w:pPr>
        <w:ind w:firstLine="720"/>
        <w:rPr>
          <w:lang w:val="es-ES"/>
        </w:rPr>
      </w:pPr>
      <w:r w:rsidRPr="0095029B">
        <w:rPr>
          <w:lang w:val="es-ES"/>
        </w:rPr>
        <w:t>Y, así como llevó dos siglos para que aquellos españoles deviniesen criollos, este siglo y medio de europeos a los que les nacieron hijos, nietos y biznietos en América, va completando el necesario desarraigo de la sangre para volvernos, ahora sí, plena y solamente americanos. Ésta es una tarea que, en su faz política, ha sido reiteradamente emprendida, detenida y abandonada. Hay una irresuelta  tensión entre las élites que han gobernado nuestros países y detentado poder económico y social, ideológicamente débiles y, por ello, dependientes y esa realidad cultural, social, étnica subyacente que reaparece con brutal, inapelable insistencia a mostrar la imposibilidad de un proyecto pensado en clave europea y anglosajona. A no ser que se acepte la endeble convivencia de dos sociedades polarizadas, antagónicas, mutuamente entorpecedoras la una de las metas de la otra. El resultado de esa deriva de más de un siglo, bajo las banderas de Orden y Progreso con la que los modelos liberales decimonónicos arremetieron en su afán de organizar los vastos territorios del Brasil, México y la Argentina, es el continente con mayor fractura social del planeta.</w:t>
      </w:r>
    </w:p>
    <w:p w:rsidR="00B86303" w:rsidRPr="0095029B" w:rsidRDefault="00B86303" w:rsidP="00B86303">
      <w:pPr>
        <w:ind w:firstLine="720"/>
        <w:rPr>
          <w:lang w:val="es-ES"/>
        </w:rPr>
      </w:pPr>
      <w:r w:rsidRPr="0095029B">
        <w:rPr>
          <w:lang w:val="es-ES"/>
        </w:rPr>
        <w:t xml:space="preserve">Fractura socioeconómica que, sin embargo, en extraña paradoja acompaña a un hecho de los más promisorios para el futuro de la Humanidad, como es la convivencia, el mestizaje, el sincretismo de todas las razas, todas las etnias, todas las culturas y creencias en los albores de un siglo que amedrenta por los brotes racistas, endogámicos, de intolerancia étnica, de fanatismo fundamentalista. Acechanzas todas éstas que sobrevuelan a Europa, Estados Unidos, Medio Oriente, África, Asia Oriental, pero no a América Latina. ¿Es que por una extraña transferencia, hemos conservado nosotros, allende el Atlántico, algo de aquel espíritu toledano, el de la Córdoba musulmana que podía pensar una realidad de convivencias e intercambios judeo-cristiano-musulmanes?     </w:t>
      </w:r>
    </w:p>
    <w:p w:rsidR="00B86303" w:rsidRPr="0095029B" w:rsidRDefault="00B86303" w:rsidP="00B86303">
      <w:pPr>
        <w:ind w:firstLine="720"/>
        <w:rPr>
          <w:lang w:val="es-ES"/>
        </w:rPr>
      </w:pPr>
      <w:r w:rsidRPr="0095029B">
        <w:rPr>
          <w:lang w:val="es-ES"/>
        </w:rPr>
        <w:t xml:space="preserve">Pensar culturalmente a América Latina obliga a incorporar las perspectivas de todos sus pensadores y gestores, no solamente de los que adscribieron al canon occidental sobre el que se cimentó una ya desacreditada “Civilización o barbarie”. Tampoco marginando a los que en sociedades como la argentina pampeana, abrumadoramente inmigratoria, no podían sustraerse de </w:t>
      </w:r>
      <w:r w:rsidRPr="0095029B">
        <w:rPr>
          <w:lang w:val="es-ES"/>
        </w:rPr>
        <w:lastRenderedPageBreak/>
        <w:t>pensar como europeos en una sociedad hecha sobre ese molde y con aportes importados, tanto de ideas como de gente.</w:t>
      </w:r>
    </w:p>
    <w:p w:rsidR="00B86303" w:rsidRPr="0095029B" w:rsidRDefault="00B86303" w:rsidP="00B86303">
      <w:pPr>
        <w:ind w:firstLine="720"/>
        <w:rPr>
          <w:color w:val="000000"/>
          <w:lang w:val="es-ES"/>
        </w:rPr>
      </w:pPr>
      <w:r w:rsidRPr="0095029B">
        <w:rPr>
          <w:lang w:val="es-ES"/>
        </w:rPr>
        <w:t>Porque sus voces han sido amortiguadas por los discursos oficiales y académicos dominantes, rescato aquí algunas de ellas. La primera, la del filósofo argent</w:t>
      </w:r>
      <w:r w:rsidRPr="0095029B">
        <w:rPr>
          <w:color w:val="000000"/>
          <w:lang w:val="es-ES"/>
        </w:rPr>
        <w:t>ino Rodolfo Kusch quien, e</w:t>
      </w:r>
      <w:r w:rsidRPr="0095029B">
        <w:rPr>
          <w:lang w:val="es-ES"/>
        </w:rPr>
        <w:t xml:space="preserve">n </w:t>
      </w:r>
      <w:r w:rsidRPr="0095029B">
        <w:rPr>
          <w:i/>
          <w:lang w:val="es-ES"/>
        </w:rPr>
        <w:t>“La seducción de la barbarie”</w:t>
      </w:r>
      <w:r w:rsidRPr="0095029B">
        <w:rPr>
          <w:lang w:val="es-ES"/>
        </w:rPr>
        <w:t>, decía en los años ´50</w:t>
      </w:r>
      <w:r w:rsidRPr="0095029B">
        <w:rPr>
          <w:color w:val="000000"/>
          <w:lang w:val="es-ES"/>
        </w:rPr>
        <w:t>: “El continente mestizo: América se encuentra irremediablemente escindida entre la verdad de fondo de su naturaleza demoníaca y la verdad de ficción de sus ciudades. (…) El pensamiento que pretende penetrar nuestra realidad debe –si es  honesto– justificar el reverso de esta mentira ciudadana que hemos tomado falsamente como meta de nuestra vida (…) Nuestra cultura se halla aún en los planos más profundos del hombre y no ha logrado una realidad objetiva. Lo que se diga de esa cultura debe ser, por lo tanto, subjetivo hasta lindar con el caos... sondear la vida de un continente que aún se halla culturalmente en el plano de la intuición.”</w:t>
      </w:r>
      <w:r w:rsidRPr="0095029B">
        <w:rPr>
          <w:rStyle w:val="Refdenotaalpie"/>
          <w:color w:val="000000"/>
        </w:rPr>
        <w:footnoteReference w:id="1"/>
      </w:r>
      <w:r w:rsidRPr="0095029B">
        <w:rPr>
          <w:color w:val="000000"/>
          <w:lang w:val="es-ES"/>
        </w:rPr>
        <w:t xml:space="preserve"> </w:t>
      </w:r>
    </w:p>
    <w:p w:rsidR="00B86303" w:rsidRPr="0095029B" w:rsidRDefault="00B86303" w:rsidP="00B86303">
      <w:pPr>
        <w:ind w:firstLine="720"/>
        <w:rPr>
          <w:color w:val="000000"/>
          <w:lang w:val="es-ES"/>
        </w:rPr>
      </w:pPr>
      <w:r w:rsidRPr="0095029B">
        <w:rPr>
          <w:lang w:val="es-ES"/>
        </w:rPr>
        <w:t xml:space="preserve">José Luis Romero, uno de los historiadores contemporáneos más reconocidos de la Argentina dice: </w:t>
      </w:r>
      <w:r w:rsidRPr="0095029B">
        <w:rPr>
          <w:color w:val="000000"/>
          <w:lang w:val="es-ES"/>
        </w:rPr>
        <w:t xml:space="preserve">“No llamo ideas solamente a las expresiones sistemáticas de un pensamiento metódicamente ordenado, sino también a aquéllas que aún no han alcanzado una formulación teórica rigurosa; y no sólo a las que emergen de una reflexión teórica sino también  las que se van constituyendo lentamente como una interpretación de la realidad y de sus posibles cambios. Estas </w:t>
      </w:r>
      <w:r w:rsidRPr="0095029B">
        <w:rPr>
          <w:i/>
          <w:color w:val="000000"/>
          <w:lang w:val="es-ES"/>
        </w:rPr>
        <w:t xml:space="preserve">otras ideas, </w:t>
      </w:r>
      <w:r w:rsidRPr="0095029B">
        <w:rPr>
          <w:color w:val="000000"/>
          <w:lang w:val="es-ES"/>
        </w:rPr>
        <w:t xml:space="preserve">las no rigurosas, suelen tener una influencia en la vida colectiva. En verdad son expresiones de ciertas formas de mentalidad y suponen una actitud frente a la realidad y un esquema de las formas que se quisiera que la realidad adoptara. Todo ello no suele ser engendrado en la mente de las élites. Suele ser el fruto de un movimiento espontáneo de vastos grupos sociales que se enfrentan con una situación dada y piensan en ella como en su constrictiva circunstancia, sin perjuicio de que de las élites salga quien provea la forma rigurosa de la expresión conceptual y, acaso, la divisa rotunda capaz de polarizar a las multitudes y enfrentar amigos y enemigos (…) El esquema de las corrientes ideológicas en Europa Occidental no puede servirnos de modelo porque el desarrollo de las corrientes ideológicas tiene allí una profunda coherencia con el desarrollo económico, social, político y cultural. Esta situación no se da en Latinoamérica … un análisis de sus contenidos en Latinoamérica no ayudaría mucho a entender los problemas latinoamericanos, porque a su vez se han desarrollado otras corrientes de opinión mucho menos precisas y sistemáticas … aunque de arraigo mucho más profundo (…) Con esto se llega a lo que para mí es el </w:t>
      </w:r>
      <w:r w:rsidRPr="0095029B">
        <w:rPr>
          <w:color w:val="000000"/>
          <w:lang w:val="es-ES"/>
        </w:rPr>
        <w:lastRenderedPageBreak/>
        <w:t>nudo del problema. En los países de desarrollo social y cultural autónomo, las ideas constituyen un haz coherente con ese desarrollo; pero en Latinoamérica como en el mundo árabe y en los países recién emancipados de Asia y África, las ideologías se mueven de distinta manera.”</w:t>
      </w:r>
      <w:r w:rsidRPr="0095029B">
        <w:rPr>
          <w:rStyle w:val="Refdenotaalpie"/>
          <w:color w:val="000000"/>
        </w:rPr>
        <w:footnoteReference w:id="2"/>
      </w:r>
      <w:r w:rsidRPr="0095029B">
        <w:rPr>
          <w:color w:val="000000"/>
          <w:lang w:val="es-ES"/>
        </w:rPr>
        <w:t xml:space="preserve">   </w:t>
      </w:r>
    </w:p>
    <w:p w:rsidR="00B86303" w:rsidRPr="0095029B" w:rsidRDefault="00B86303" w:rsidP="00B86303">
      <w:pPr>
        <w:ind w:firstLine="720"/>
        <w:rPr>
          <w:color w:val="000000"/>
          <w:lang w:val="es-ES"/>
        </w:rPr>
      </w:pPr>
      <w:r w:rsidRPr="0095029B">
        <w:rPr>
          <w:color w:val="000000"/>
          <w:lang w:val="es-ES"/>
        </w:rPr>
        <w:t>“En una actitud crítica frente a los esquemas conceptuales oficializados, buscaron el diálogo con los oprimidos afrontando el reto de crear sus propios instrumentos teóricos, de romper con los cánones establecidos, de negar la supuesta autoridad de los iluminismos despreciativos de lo popular. Decididos a quebrar las máscaras de charreteras y togas que denunciaba Martí, a buscar la virginidad mental que pedía Scalabrini Ortiz.”</w:t>
      </w:r>
      <w:r w:rsidRPr="0095029B">
        <w:rPr>
          <w:rStyle w:val="Refdenotaalpie"/>
          <w:color w:val="000000"/>
        </w:rPr>
        <w:footnoteReference w:id="3"/>
      </w:r>
      <w:r w:rsidRPr="0095029B">
        <w:rPr>
          <w:color w:val="000000"/>
          <w:lang w:val="es-ES"/>
        </w:rPr>
        <w:t xml:space="preserve"> En palabras de Alcira Argumedo.</w:t>
      </w:r>
    </w:p>
    <w:p w:rsidR="00B86303" w:rsidRPr="0095029B" w:rsidRDefault="00B86303" w:rsidP="00B86303">
      <w:pPr>
        <w:rPr>
          <w:color w:val="000000"/>
          <w:lang w:val="es-ES"/>
        </w:rPr>
      </w:pPr>
      <w:r w:rsidRPr="0095029B">
        <w:rPr>
          <w:color w:val="000000"/>
          <w:lang w:val="es-ES"/>
        </w:rPr>
        <w:t>“Todo lo que nos rodea es falso e irreal. Es falsa la historia que nos enseñaron. Falsas las creencias económicas que nos imbuyeron. Falsas las perspectivas mundiales que nos presentan y las disyuntivas políticas que nos ofrecen. Irreales las libertades que los textos aseguran. Volver a la realidad es el  imperativo inexcusable. Para ello es preciso exigirse una virginidad mental a toda costa y una resolución inquebrantable de querer saber exactamente cómo somos.”</w:t>
      </w:r>
      <w:r w:rsidRPr="0095029B">
        <w:rPr>
          <w:rStyle w:val="Refdenotaalpie"/>
          <w:color w:val="000000"/>
        </w:rPr>
        <w:footnoteReference w:id="4"/>
      </w:r>
      <w:r w:rsidRPr="0095029B">
        <w:rPr>
          <w:color w:val="000000"/>
          <w:lang w:val="es-ES"/>
        </w:rPr>
        <w:t xml:space="preserve"> casi clamaba en los años de la Depresión del ´30 Raúl Scalabrini Ortiz.</w:t>
      </w:r>
    </w:p>
    <w:p w:rsidR="00B86303" w:rsidRPr="0095029B" w:rsidRDefault="00B86303" w:rsidP="00B86303">
      <w:pPr>
        <w:rPr>
          <w:color w:val="000000"/>
          <w:lang w:val="es-ES"/>
        </w:rPr>
      </w:pPr>
      <w:r w:rsidRPr="0095029B">
        <w:rPr>
          <w:color w:val="000000"/>
          <w:lang w:val="es-ES"/>
        </w:rPr>
        <w:t xml:space="preserve">“A diferencia de otras regiones que fueron sometidas a dominios coloniales, en el continente latinoamericano se procesaron múltiples entrecruzamientos de razas, etnias y culturas, dando lugar a una complejidad social y cultural de características inéditas en la historia.” </w:t>
      </w:r>
      <w:r w:rsidRPr="0095029B">
        <w:rPr>
          <w:rStyle w:val="Refdenotaalpie"/>
          <w:color w:val="000000"/>
        </w:rPr>
        <w:footnoteReference w:id="5"/>
      </w:r>
      <w:r w:rsidRPr="0095029B">
        <w:rPr>
          <w:color w:val="000000"/>
          <w:lang w:val="es-ES"/>
        </w:rPr>
        <w:t xml:space="preserve"> Nuevamente, Alcira Argumedo.</w:t>
      </w:r>
    </w:p>
    <w:p w:rsidR="00B86303" w:rsidRPr="0095029B" w:rsidRDefault="00B86303" w:rsidP="00B86303">
      <w:pPr>
        <w:rPr>
          <w:color w:val="000000"/>
          <w:lang w:val="es-ES"/>
        </w:rPr>
      </w:pPr>
      <w:r w:rsidRPr="0095029B">
        <w:rPr>
          <w:color w:val="000000"/>
          <w:lang w:val="es-ES"/>
        </w:rPr>
        <w:t xml:space="preserve">“Serán, en cambio, una poderosa nación complementando sus economías y regiones naturales sobre los antecedentes de una historia común de cinco siglos y otra anterior representada por las ciclópeas culturas indígenas, afirmando el contacto por la fusión de razas y la comunidad lingüística… No somos europeos. Y esto debe ser motivo de orgullo. No de humillación cultural.” </w:t>
      </w:r>
      <w:r w:rsidRPr="0095029B">
        <w:rPr>
          <w:rStyle w:val="Refdenotaalpie"/>
          <w:color w:val="000000"/>
        </w:rPr>
        <w:footnoteReference w:id="6"/>
      </w:r>
      <w:r w:rsidRPr="0095029B">
        <w:rPr>
          <w:color w:val="000000"/>
          <w:lang w:val="es-ES"/>
        </w:rPr>
        <w:t xml:space="preserve"> Reflexionaba un teórico proveniente del marxismo, Juan José Hernández Arregui.</w:t>
      </w:r>
    </w:p>
    <w:p w:rsidR="00B86303" w:rsidRPr="0095029B" w:rsidRDefault="00B86303" w:rsidP="00B86303">
      <w:pPr>
        <w:ind w:firstLine="720"/>
        <w:rPr>
          <w:color w:val="000000"/>
          <w:lang w:val="es-ES"/>
        </w:rPr>
      </w:pPr>
      <w:r w:rsidRPr="0095029B">
        <w:rPr>
          <w:color w:val="000000"/>
          <w:lang w:val="es-ES"/>
        </w:rPr>
        <w:t xml:space="preserve">Finalmente, Mario Casalla en </w:t>
      </w:r>
      <w:r w:rsidRPr="0095029B">
        <w:rPr>
          <w:i/>
          <w:color w:val="000000"/>
          <w:lang w:val="es-ES"/>
        </w:rPr>
        <w:t>“América Latina en perspectiva”</w:t>
      </w:r>
      <w:r w:rsidRPr="0095029B">
        <w:rPr>
          <w:color w:val="000000"/>
          <w:lang w:val="es-ES"/>
        </w:rPr>
        <w:t xml:space="preserve"> ahondaría en los orígenes de nuestra realidad y el modelo dominante en Occidente: “Cuando se alude al concepto de “nación”, lo que se hace es proyectar la experiencia europea del mismo, como si se tratase de un universal… Se ignora que el nacionalismo y la nación originadas en Europa están ligadas a circunstancias y </w:t>
      </w:r>
      <w:r w:rsidRPr="0095029B">
        <w:rPr>
          <w:color w:val="000000"/>
          <w:lang w:val="es-ES"/>
        </w:rPr>
        <w:lastRenderedPageBreak/>
        <w:t>procesos muy especiales que las diferencian de otras experiencias mundiales… que el nacimiento de las nacionalidades europeas está indisolublemente unido a la decadencia del feudalismo y su sistema económico-social… que cede paso al sistema capitalista de producción que revoluciona la sociedad y sus instituciones... que supone elementos cualitativamente nuevos como: la iniciativa privada, la competencia despiadada por los mercados y los recursos naturales, la obtención creciente de beneficios, el sistema de salarios para los obreros… la Nación europea es hija de la nueva riqueza (…) En el nivel político, el desarrollo de las nacionalidades está ligado a dos singulares luchas sociales: de las noblezas locales contra el viejo señorío feudal y ecuménico y de las burguesías republicanas contra la restauración de las monarquías absolutistas (…) los acompañamientos ideológicos son el republicanismo como sistema político y el romanticismo en el orden cultural… Y esto es lo que propiamente “exporta” aquella Europa, no la riqueza de origen que lo sostenía, ni la experiencia política de su dirigencia en el manejo de los asuntos públicos… Las numerosas “copias” que se hacen aquí de ese original resultan siempre de una irremediable pobreza e inestabilidad. Nuestras jóvenes cabezas “llenas de ideas” no se asentaban por cierto sobre pies tan firmes como los de la burguesía y la nobleza europeas. (…) las diferentes naciones americanas resultan de la dispersión de la América Hispana y de su decadencia económica… las nacionalidades europeas son fruto de la concentración geográfica y cultural de sus espacios y poblaciones… somos hijos de la fragmentación y la pobreza, antes que de la concentración y la riqueza… El organismo faltante en nuestro continente no es el Estado, sino la Nación.”</w:t>
      </w:r>
      <w:r w:rsidRPr="0095029B">
        <w:rPr>
          <w:rStyle w:val="Refdenotaalpie"/>
          <w:color w:val="000000"/>
        </w:rPr>
        <w:footnoteReference w:id="7"/>
      </w:r>
      <w:r w:rsidRPr="0095029B">
        <w:rPr>
          <w:color w:val="000000"/>
          <w:lang w:val="es-ES"/>
        </w:rPr>
        <w:t xml:space="preserve"> </w:t>
      </w:r>
    </w:p>
    <w:p w:rsidR="00B86303" w:rsidRPr="0095029B" w:rsidRDefault="00B86303" w:rsidP="00B86303">
      <w:pPr>
        <w:ind w:firstLine="720"/>
        <w:rPr>
          <w:lang w:val="es-ES"/>
        </w:rPr>
      </w:pPr>
      <w:r w:rsidRPr="0095029B">
        <w:rPr>
          <w:lang w:val="es-ES"/>
        </w:rPr>
        <w:t>De esa diferencia sustancial con la realidad europea que marcó profundamente a nuestras sociedades a través de “aquel organismo, solemne por años, templado por sensatez administrativa de tres siglos, que la Revolución de Mayo ha demolido”, al decir de Vicente Fidel López a fines del siglo XIX, surgen no pocos de los problemas de América Latina en los siguientes dos siglos de vida independiente. La masiva afluencia de inmigrantes europeos entre 1850 y 1920 a países como Argentina, Uruguay, Chile, Brasil hasta conformar una amplia banda geográfica al sur del Trópico de Capricornio mayoritariamente formada por ellos y sus descendientes no ha hecho más que complejizar la realidad cultural de nuestro continente.</w:t>
      </w:r>
    </w:p>
    <w:p w:rsidR="00B86303" w:rsidRPr="0095029B" w:rsidRDefault="00B86303" w:rsidP="00B86303">
      <w:pPr>
        <w:ind w:firstLine="720"/>
        <w:rPr>
          <w:lang w:val="es-ES"/>
        </w:rPr>
      </w:pPr>
      <w:r w:rsidRPr="0095029B">
        <w:rPr>
          <w:lang w:val="es-ES"/>
        </w:rPr>
        <w:t xml:space="preserve">Se consolidan así tres espacios geográficos y culturales muy marcados: el de las culturas y civilizaciones precolombinas recostado sobre el oeste a lo largo de la línea divisoria de los Andes, el de la América tropical atlántica y caribeña destino de los esclavos africanos traídos a la fuerza en los </w:t>
      </w:r>
      <w:r w:rsidRPr="0095029B">
        <w:rPr>
          <w:lang w:val="es-ES"/>
        </w:rPr>
        <w:lastRenderedPageBreak/>
        <w:t>siglos XVII y XVIII y el de la América templada receptora de esos quince a veinte millones de inmigrantes europeos, hermanos de los que hicieron la misma travesía atlántica hacia los Estados Unidos y el Canadá.</w:t>
      </w:r>
    </w:p>
    <w:p w:rsidR="00B86303" w:rsidRPr="0095029B" w:rsidRDefault="00B86303" w:rsidP="00B86303">
      <w:pPr>
        <w:ind w:firstLine="720"/>
        <w:rPr>
          <w:lang w:val="es-ES"/>
        </w:rPr>
      </w:pPr>
      <w:r w:rsidRPr="0095029B">
        <w:rPr>
          <w:lang w:val="es-ES"/>
        </w:rPr>
        <w:t>Mucho se ha hablado de la impronta con que han marcado a nuestra cultura latinoamericana los tres aportes sucesivos: los pueblos originarios y las civilizaciones precolombinas, la conquista y colonización hispano-lusitana y la población negra de origen africano. Tres cuartas partes de “nosotros” latinoamericanos tienen uno, dos o esos tres troncos étnicos y culturales en sus orígenes. Pero una importante cuarta parte remanente, formada por decenas de millones de latinoamericanos, provenimos de esa última y cuarta oleada poblacional de la segunda mitad del siglo XIX.</w:t>
      </w:r>
    </w:p>
    <w:p w:rsidR="00B86303" w:rsidRPr="0095029B" w:rsidRDefault="00B86303" w:rsidP="00B86303">
      <w:pPr>
        <w:ind w:firstLine="720"/>
        <w:rPr>
          <w:lang w:val="es-ES"/>
        </w:rPr>
      </w:pPr>
      <w:r w:rsidRPr="0095029B">
        <w:rPr>
          <w:lang w:val="es-ES"/>
        </w:rPr>
        <w:t xml:space="preserve">Ése es mi caso, pero ello no impide que con absoluta autenticidad me refiera a esa trama profunda de la América Latina – a la que </w:t>
      </w:r>
      <w:r w:rsidRPr="0095029B">
        <w:rPr>
          <w:i/>
          <w:lang w:val="es-ES"/>
        </w:rPr>
        <w:t>étnicamente</w:t>
      </w:r>
      <w:r w:rsidRPr="0095029B">
        <w:rPr>
          <w:lang w:val="es-ES"/>
        </w:rPr>
        <w:t xml:space="preserve"> no pertenezco – como mi propia pertenencia, porque culturalmente sí pertenezco a esa construcción inacabada. Soy de los que no formamos el Nuevo Mundo, pero nos diluímos en esta construcción de un mundo nuevo. Por eso, América Latina, no su lugar en el mapamundi, sino su lugar en la Historia, es también totalmente nuestra. Tanto como lo es de aquellos descendientes de españoles y portugueses que llevan 10 o 20 generaciones en América, o de los negros y mulatos con dos o tres siglos de estancia americana o de los indígenas que poblaban estos territorios cinco milenios antes de la Era Cristiana.  No somos cuerpos extraños en una tierra adversa que siempre nos diferenciará. No somos hijos y nietos de un apartheid.    </w:t>
      </w:r>
    </w:p>
    <w:p w:rsidR="00B86303" w:rsidRPr="0095029B" w:rsidRDefault="00B86303" w:rsidP="00B86303">
      <w:pPr>
        <w:ind w:firstLine="720"/>
        <w:rPr>
          <w:lang w:val="es-ES"/>
        </w:rPr>
      </w:pPr>
      <w:r w:rsidRPr="0095029B">
        <w:rPr>
          <w:lang w:val="es-ES"/>
        </w:rPr>
        <w:t xml:space="preserve">Sí, hemos corrido el peligro de intentar hacer muchas veces, sobre todo en la Argentina, una suerte de </w:t>
      </w:r>
      <w:r w:rsidRPr="0095029B">
        <w:rPr>
          <w:i/>
          <w:lang w:val="es-ES"/>
        </w:rPr>
        <w:t>colonia fenicia</w:t>
      </w:r>
      <w:r w:rsidRPr="0095029B">
        <w:rPr>
          <w:lang w:val="es-ES"/>
        </w:rPr>
        <w:t xml:space="preserve"> remedando una Europa imposible en medio de esa trama sociocultural rica y variada indo-afro-iberoamericana. Trama a la cual debemos agradecer la imposibilidad de ese apartheid aludido.</w:t>
      </w:r>
    </w:p>
    <w:p w:rsidR="00B86303" w:rsidRPr="0095029B" w:rsidRDefault="00B86303" w:rsidP="00B86303">
      <w:pPr>
        <w:ind w:firstLine="720"/>
        <w:rPr>
          <w:lang w:val="es-ES"/>
        </w:rPr>
      </w:pPr>
      <w:r w:rsidRPr="0095029B">
        <w:rPr>
          <w:lang w:val="es-ES"/>
        </w:rPr>
        <w:t>Pero, debemos resguardarnos de los riesgos de un “indigenismo bienpensante”, más común entre blancos que no son indígenas que entre los propios integrantes de los pueblos originarios. Los riesgos de una “</w:t>
      </w:r>
      <w:r w:rsidRPr="0095029B">
        <w:rPr>
          <w:i/>
          <w:lang w:val="es-ES"/>
        </w:rPr>
        <w:t>América india, América negra</w:t>
      </w:r>
      <w:r w:rsidRPr="0095029B">
        <w:rPr>
          <w:lang w:val="es-ES"/>
        </w:rPr>
        <w:t xml:space="preserve"> “, como decía una popular canción difundida en la Argentina. Imagen de un continente y una cultura en la que, no ya la “minoría de una factoría portuaria”, sino 200 millones de nosotros éramos despojados de arraigo y pertenencia, minorizados en  una cultura que no sólo es nuestra por aceptación, sino porque la producimos a diario a través de nuestro bien más preciado que es nuestra descendencia. Hay una notoria diferencia entre los nietos que en las décadas de 1940 y 1950 teníamos vínculos fluídos con nuestros abuelos europeos, </w:t>
      </w:r>
      <w:r w:rsidRPr="0095029B">
        <w:rPr>
          <w:lang w:val="es-ES"/>
        </w:rPr>
        <w:lastRenderedPageBreak/>
        <w:t xml:space="preserve">su lengua, su idiosincrasia, sus ideas, sus comidas y las nuevas generaciones de americanos que sólo guardan vagas referencias de esa experiencia intransferible.  </w:t>
      </w:r>
    </w:p>
    <w:p w:rsidR="00B86303" w:rsidRPr="0095029B" w:rsidRDefault="00B86303" w:rsidP="00B86303">
      <w:pPr>
        <w:rPr>
          <w:lang w:val="es-ES"/>
        </w:rPr>
      </w:pPr>
      <w:r w:rsidRPr="0095029B">
        <w:rPr>
          <w:lang w:val="es-ES"/>
        </w:rPr>
        <w:t xml:space="preserve"> </w:t>
      </w:r>
      <w:r>
        <w:rPr>
          <w:lang w:val="es-ES"/>
        </w:rPr>
        <w:tab/>
      </w:r>
      <w:r w:rsidRPr="0095029B">
        <w:rPr>
          <w:lang w:val="es-ES"/>
        </w:rPr>
        <w:t xml:space="preserve">Quisiera cerrar estos interrogantes sobre el desafío de arraigar en América con el  fértil aporte conceptual de Rodolfo Kusch cuando, en </w:t>
      </w:r>
      <w:r w:rsidRPr="0095029B">
        <w:rPr>
          <w:i/>
          <w:lang w:val="es-ES"/>
        </w:rPr>
        <w:t>“América profunda”,</w:t>
      </w:r>
      <w:r w:rsidRPr="0095029B">
        <w:rPr>
          <w:lang w:val="es-ES"/>
        </w:rPr>
        <w:t xml:space="preserve">  reflexiona sobre el ser y el estar: “El mismo concepto de </w:t>
      </w:r>
      <w:r w:rsidRPr="0095029B">
        <w:rPr>
          <w:i/>
          <w:lang w:val="es-ES"/>
        </w:rPr>
        <w:t xml:space="preserve">Dasein </w:t>
      </w:r>
      <w:r w:rsidRPr="0095029B">
        <w:rPr>
          <w:lang w:val="es-ES"/>
        </w:rPr>
        <w:t xml:space="preserve">de Heidegger, que siempre es traducido como “ser ahí”, sin embargo tiene un sentido de “mero estar”, de “darse”. No hay que olvidar que en alemán no hay verbo </w:t>
      </w:r>
      <w:r w:rsidRPr="0095029B">
        <w:rPr>
          <w:i/>
          <w:lang w:val="es-ES"/>
        </w:rPr>
        <w:t>estar</w:t>
      </w:r>
      <w:r w:rsidRPr="0095029B">
        <w:rPr>
          <w:lang w:val="es-ES"/>
        </w:rPr>
        <w:t xml:space="preserve">. (…) ni el inglés ni el francés, ni tampoco el alemán  logran adaptarse a ambientes diferentes de los de su tierra de origen. (…) En el sánscrito, también en el griego y el latín se da, como en el castellano, esta disociación en dos verbos, pero ella desaparece en las lenguas anglosajonas y francesa, porque éstas pertenecen a un ámbito que ha asimilado el </w:t>
      </w:r>
      <w:r w:rsidRPr="0095029B">
        <w:rPr>
          <w:i/>
          <w:lang w:val="es-ES"/>
        </w:rPr>
        <w:t>estar</w:t>
      </w:r>
      <w:r w:rsidRPr="0095029B">
        <w:rPr>
          <w:lang w:val="es-ES"/>
        </w:rPr>
        <w:t xml:space="preserve"> al </w:t>
      </w:r>
      <w:r w:rsidRPr="0095029B">
        <w:rPr>
          <w:i/>
          <w:lang w:val="es-ES"/>
        </w:rPr>
        <w:t>ser</w:t>
      </w:r>
      <w:r w:rsidRPr="0095029B">
        <w:rPr>
          <w:lang w:val="es-ES"/>
        </w:rPr>
        <w:t xml:space="preserve">… Son culturas del </w:t>
      </w:r>
      <w:r w:rsidRPr="0095029B">
        <w:rPr>
          <w:i/>
          <w:lang w:val="es-ES"/>
        </w:rPr>
        <w:t>ser</w:t>
      </w:r>
      <w:r w:rsidRPr="0095029B">
        <w:rPr>
          <w:lang w:val="es-ES"/>
        </w:rPr>
        <w:t xml:space="preserve">, inadaptables a cualquier ámbito porque crean su propio mundo (…) El móvil central de toda la filosofía occidental es el </w:t>
      </w:r>
      <w:r w:rsidRPr="0095029B">
        <w:rPr>
          <w:i/>
          <w:lang w:val="es-ES"/>
        </w:rPr>
        <w:t>ser</w:t>
      </w:r>
      <w:r w:rsidRPr="0095029B">
        <w:rPr>
          <w:lang w:val="es-ES"/>
        </w:rPr>
        <w:t xml:space="preserve">. En la ontología occidental hay una obsesión de las esencias que el mundo oriental no conoce. (…) La importancia del descubrimiento estriba en el hecho de que es el encuentro entre dos experiencias del hombre. Por una parte, la del ser … por la otra, la del estar, como sobrevivencia, como acomodación a un ámbito. “ </w:t>
      </w:r>
      <w:r w:rsidRPr="0095029B">
        <w:rPr>
          <w:rStyle w:val="Refdenotaalpie"/>
        </w:rPr>
        <w:footnoteReference w:id="8"/>
      </w:r>
      <w:r w:rsidRPr="0095029B">
        <w:rPr>
          <w:lang w:val="es-ES"/>
        </w:rPr>
        <w:t xml:space="preserve">  En otro de sus libros, Kusch afirma: “Ya Félix Schwartzmann había querido resolver este problema en su libro “El sentimiento de lo humano en América”, en donde hace notar que una filosofía típicamente americana sólo se da por ahora en la poesía y en la novelística.” </w:t>
      </w:r>
      <w:r w:rsidRPr="0095029B">
        <w:rPr>
          <w:rStyle w:val="Refdenotaalpie"/>
        </w:rPr>
        <w:footnoteReference w:id="9"/>
      </w:r>
    </w:p>
    <w:p w:rsidR="00B86303" w:rsidRPr="009915A5" w:rsidRDefault="00B86303" w:rsidP="00B86303">
      <w:pPr>
        <w:ind w:firstLine="720"/>
        <w:rPr>
          <w:b/>
          <w:lang w:val="es-ES"/>
        </w:rPr>
      </w:pPr>
      <w:r w:rsidRPr="0095029B">
        <w:rPr>
          <w:lang w:val="es-ES"/>
        </w:rPr>
        <w:t>Es desde esta perspectiva profunda y típicamente americana, en la que el horizonte de sentido siempre es un horizonte por delante, de proyección, de futuro, de construcción, de tarea pendiente, de destino; no de tradición, de decantación, de origen, de fuerza de lo acontecido y precedente, que planteo que la América del Nuevo Mundo puede ayudar con su cultura diversa, contradictoria y tolerante al imprescindible parto de un mundo nuevo.</w:t>
      </w:r>
      <w:r w:rsidRPr="009915A5">
        <w:rPr>
          <w:b/>
          <w:lang w:val="es-ES"/>
        </w:rPr>
        <w:t xml:space="preserve"> </w:t>
      </w:r>
    </w:p>
    <w:p w:rsidR="00B86303" w:rsidRPr="0095029B" w:rsidRDefault="00B86303" w:rsidP="00B86303">
      <w:pPr>
        <w:ind w:firstLine="720"/>
        <w:rPr>
          <w:lang w:val="es-ES"/>
        </w:rPr>
      </w:pPr>
      <w:r w:rsidRPr="0095029B">
        <w:rPr>
          <w:lang w:val="es-ES"/>
        </w:rPr>
        <w:t xml:space="preserve">Quizás, yo pueda decir que, porque </w:t>
      </w:r>
      <w:r w:rsidRPr="0095029B">
        <w:rPr>
          <w:i/>
          <w:lang w:val="es-ES"/>
        </w:rPr>
        <w:t>estoy</w:t>
      </w:r>
      <w:r w:rsidRPr="0095029B">
        <w:rPr>
          <w:lang w:val="es-ES"/>
        </w:rPr>
        <w:t xml:space="preserve"> en América, </w:t>
      </w:r>
      <w:r w:rsidRPr="0095029B">
        <w:rPr>
          <w:i/>
          <w:lang w:val="es-ES"/>
        </w:rPr>
        <w:t xml:space="preserve">soy </w:t>
      </w:r>
      <w:r w:rsidRPr="0095029B">
        <w:rPr>
          <w:lang w:val="es-ES"/>
        </w:rPr>
        <w:t xml:space="preserve">americano. Pero, también, que ello se hace posible porque la lengua de España, hoy nuestra propia lengua, al diferenciar el </w:t>
      </w:r>
      <w:r w:rsidRPr="0095029B">
        <w:rPr>
          <w:i/>
          <w:lang w:val="es-ES"/>
        </w:rPr>
        <w:t xml:space="preserve">ser y </w:t>
      </w:r>
      <w:r w:rsidRPr="0095029B">
        <w:rPr>
          <w:lang w:val="es-ES"/>
        </w:rPr>
        <w:t xml:space="preserve">el </w:t>
      </w:r>
      <w:r w:rsidRPr="0095029B">
        <w:rPr>
          <w:i/>
          <w:lang w:val="es-ES"/>
        </w:rPr>
        <w:t>estar</w:t>
      </w:r>
      <w:r w:rsidRPr="0095029B">
        <w:rPr>
          <w:lang w:val="es-ES"/>
        </w:rPr>
        <w:t xml:space="preserve">, puede expresar esa insondable imbricación que es el cielo y la tierra de nuestro sostenido afán y contundente realidad de construir una cultura iberoamericana. </w:t>
      </w:r>
    </w:p>
    <w:p w:rsidR="00B86303" w:rsidRPr="00B86303" w:rsidRDefault="00B86303">
      <w:pPr>
        <w:rPr>
          <w:lang w:val="es-ES"/>
        </w:rPr>
      </w:pPr>
      <w:bookmarkStart w:id="0" w:name="_GoBack"/>
      <w:bookmarkEnd w:id="0"/>
    </w:p>
    <w:sectPr w:rsidR="00B86303" w:rsidRPr="00B8630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4CC3" w:rsidRDefault="00B04CC3" w:rsidP="00B86303">
      <w:pPr>
        <w:spacing w:line="240" w:lineRule="auto"/>
      </w:pPr>
      <w:r>
        <w:separator/>
      </w:r>
    </w:p>
  </w:endnote>
  <w:endnote w:type="continuationSeparator" w:id="0">
    <w:p w:rsidR="00B04CC3" w:rsidRDefault="00B04CC3" w:rsidP="00B863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4CC3" w:rsidRDefault="00B04CC3" w:rsidP="00B86303">
      <w:pPr>
        <w:spacing w:line="240" w:lineRule="auto"/>
      </w:pPr>
      <w:r>
        <w:separator/>
      </w:r>
    </w:p>
  </w:footnote>
  <w:footnote w:type="continuationSeparator" w:id="0">
    <w:p w:rsidR="00B04CC3" w:rsidRDefault="00B04CC3" w:rsidP="00B86303">
      <w:pPr>
        <w:spacing w:line="240" w:lineRule="auto"/>
      </w:pPr>
      <w:r>
        <w:continuationSeparator/>
      </w:r>
    </w:p>
  </w:footnote>
  <w:footnote w:id="1">
    <w:p w:rsidR="00B86303" w:rsidRDefault="00B86303" w:rsidP="00B86303">
      <w:pPr>
        <w:pStyle w:val="Textonotapie"/>
      </w:pPr>
      <w:r>
        <w:rPr>
          <w:rStyle w:val="Refdenotaalpie"/>
        </w:rPr>
        <w:footnoteRef/>
      </w:r>
      <w:r>
        <w:t xml:space="preserve"> Kusch, Rodolfo. </w:t>
      </w:r>
      <w:r w:rsidRPr="00587EBE">
        <w:rPr>
          <w:i/>
        </w:rPr>
        <w:t>Obras completas, Tomo I. “La seducción de la barbarie”</w:t>
      </w:r>
      <w:r>
        <w:t>. Editorial Fundación Ross.  Rosario, 2000</w:t>
      </w:r>
    </w:p>
  </w:footnote>
  <w:footnote w:id="2">
    <w:p w:rsidR="00B86303" w:rsidRPr="00726CA0" w:rsidRDefault="00B86303" w:rsidP="00B86303">
      <w:pPr>
        <w:pStyle w:val="Textonotapie"/>
      </w:pPr>
      <w:r>
        <w:rPr>
          <w:rStyle w:val="Refdenotaalpie"/>
        </w:rPr>
        <w:footnoteRef/>
      </w:r>
      <w:r>
        <w:t xml:space="preserve"> Romero, José Luis: </w:t>
      </w:r>
      <w:r w:rsidRPr="00726CA0">
        <w:rPr>
          <w:i/>
        </w:rPr>
        <w:t>Latinoamérica: situaciones e ideolog</w:t>
      </w:r>
      <w:r>
        <w:rPr>
          <w:i/>
        </w:rPr>
        <w:t>ía</w:t>
      </w:r>
      <w:r w:rsidRPr="00726CA0">
        <w:rPr>
          <w:i/>
        </w:rPr>
        <w:t>s</w:t>
      </w:r>
      <w:r>
        <w:rPr>
          <w:i/>
        </w:rPr>
        <w:t xml:space="preserve">,  </w:t>
      </w:r>
      <w:r>
        <w:t>Bs.As., Ediciones del Candil, 1967</w:t>
      </w:r>
    </w:p>
  </w:footnote>
  <w:footnote w:id="3">
    <w:p w:rsidR="00B86303" w:rsidRDefault="00B86303" w:rsidP="00B86303">
      <w:pPr>
        <w:pStyle w:val="Textonotapie"/>
      </w:pPr>
      <w:r>
        <w:rPr>
          <w:rStyle w:val="Refdenotaalpie"/>
        </w:rPr>
        <w:footnoteRef/>
      </w:r>
      <w:r>
        <w:t xml:space="preserve"> Argumedo, Alcira: </w:t>
      </w:r>
      <w:r w:rsidRPr="00403579">
        <w:rPr>
          <w:i/>
        </w:rPr>
        <w:t>Los silencios y las voces en América Latina</w:t>
      </w:r>
      <w:r>
        <w:t>. Bs. As. Ediciones del pensamiento nacional, 2006</w:t>
      </w:r>
    </w:p>
  </w:footnote>
  <w:footnote w:id="4">
    <w:p w:rsidR="00B86303" w:rsidRDefault="00B86303" w:rsidP="00B86303">
      <w:pPr>
        <w:pStyle w:val="Textonotapie"/>
      </w:pPr>
      <w:r>
        <w:rPr>
          <w:rStyle w:val="Refdenotaalpie"/>
        </w:rPr>
        <w:footnoteRef/>
      </w:r>
      <w:r>
        <w:t xml:space="preserve"> Scalabrini Ortiz, Raúl: </w:t>
      </w:r>
      <w:r w:rsidRPr="00403579">
        <w:rPr>
          <w:i/>
        </w:rPr>
        <w:t>Política británica en el Río de la Plata: páginas de la historia tenebrosa de un pasado político</w:t>
      </w:r>
      <w:r>
        <w:t>. Bs. As. Hechos e Ideas, 1950</w:t>
      </w:r>
    </w:p>
  </w:footnote>
  <w:footnote w:id="5">
    <w:p w:rsidR="00B86303" w:rsidRDefault="00B86303" w:rsidP="00B86303">
      <w:pPr>
        <w:pStyle w:val="Textonotapie"/>
      </w:pPr>
      <w:r>
        <w:rPr>
          <w:rStyle w:val="Refdenotaalpie"/>
        </w:rPr>
        <w:footnoteRef/>
      </w:r>
      <w:r>
        <w:t xml:space="preserve"> __ Argumedo, Alcira: op. Cit.</w:t>
      </w:r>
    </w:p>
  </w:footnote>
  <w:footnote w:id="6">
    <w:p w:rsidR="00B86303" w:rsidRDefault="00B86303" w:rsidP="00B86303">
      <w:pPr>
        <w:pStyle w:val="Textonotapie"/>
      </w:pPr>
      <w:r>
        <w:rPr>
          <w:rStyle w:val="Refdenotaalpie"/>
        </w:rPr>
        <w:footnoteRef/>
      </w:r>
      <w:r>
        <w:t xml:space="preserve"> Hernández Arregui, Juan José: </w:t>
      </w:r>
      <w:r w:rsidRPr="000516C4">
        <w:rPr>
          <w:i/>
        </w:rPr>
        <w:t>Nacionalismo y liberación: metrópolis y colonias en la era del imperialismo</w:t>
      </w:r>
      <w:r>
        <w:t>, Bs. As. Hachea, 1969</w:t>
      </w:r>
    </w:p>
  </w:footnote>
  <w:footnote w:id="7">
    <w:p w:rsidR="00B86303" w:rsidRDefault="00B86303" w:rsidP="00B86303">
      <w:pPr>
        <w:pStyle w:val="Textonotapie"/>
      </w:pPr>
      <w:r>
        <w:rPr>
          <w:rStyle w:val="Refdenotaalpie"/>
        </w:rPr>
        <w:footnoteRef/>
      </w:r>
      <w:r>
        <w:t xml:space="preserve"> Casalla, Mario: América Latina en perspectiva: dramas del pasado, huellas del presente, Bs. As. Altamira / OSDE, 2003</w:t>
      </w:r>
    </w:p>
  </w:footnote>
  <w:footnote w:id="8">
    <w:p w:rsidR="00B86303" w:rsidRDefault="00B86303" w:rsidP="00B86303">
      <w:pPr>
        <w:pStyle w:val="Textonotapie"/>
      </w:pPr>
      <w:r>
        <w:rPr>
          <w:rStyle w:val="Refdenotaalpie"/>
        </w:rPr>
        <w:footnoteRef/>
      </w:r>
      <w:r>
        <w:t xml:space="preserve"> Kusch, Rodolfo. </w:t>
      </w:r>
      <w:r w:rsidRPr="00587EBE">
        <w:rPr>
          <w:i/>
        </w:rPr>
        <w:t>Obras completas, Tomo</w:t>
      </w:r>
      <w:r>
        <w:rPr>
          <w:i/>
        </w:rPr>
        <w:t xml:space="preserve"> I</w:t>
      </w:r>
      <w:r w:rsidRPr="00587EBE">
        <w:rPr>
          <w:i/>
        </w:rPr>
        <w:t>I. “</w:t>
      </w:r>
      <w:r>
        <w:rPr>
          <w:i/>
        </w:rPr>
        <w:t>América profunda</w:t>
      </w:r>
      <w:r w:rsidRPr="00587EBE">
        <w:rPr>
          <w:i/>
        </w:rPr>
        <w:t>”</w:t>
      </w:r>
      <w:r>
        <w:t>. Editorial Fundación Ross.  Rosario, 2000</w:t>
      </w:r>
    </w:p>
    <w:p w:rsidR="00B86303" w:rsidRDefault="00B86303" w:rsidP="00B86303">
      <w:pPr>
        <w:pStyle w:val="Textonotapie"/>
      </w:pPr>
      <w:r>
        <w:t xml:space="preserve"> </w:t>
      </w:r>
    </w:p>
  </w:footnote>
  <w:footnote w:id="9">
    <w:p w:rsidR="00B86303" w:rsidRDefault="00B86303" w:rsidP="00B86303">
      <w:pPr>
        <w:pStyle w:val="Textonotapie"/>
      </w:pPr>
      <w:r>
        <w:rPr>
          <w:rStyle w:val="Refdenotaalpie"/>
        </w:rPr>
        <w:footnoteRef/>
      </w:r>
      <w:r>
        <w:t xml:space="preserve"> Kusch, Rodolfo. </w:t>
      </w:r>
      <w:r w:rsidRPr="00587EBE">
        <w:rPr>
          <w:i/>
        </w:rPr>
        <w:t xml:space="preserve">Obras completas, Tomo </w:t>
      </w:r>
      <w:r>
        <w:rPr>
          <w:i/>
        </w:rPr>
        <w:t>I</w:t>
      </w:r>
      <w:r w:rsidRPr="00587EBE">
        <w:rPr>
          <w:i/>
        </w:rPr>
        <w:t>I. “</w:t>
      </w:r>
      <w:r>
        <w:rPr>
          <w:i/>
        </w:rPr>
        <w:t>El pensamiento indígena y popular en América</w:t>
      </w:r>
      <w:r w:rsidRPr="00587EBE">
        <w:rPr>
          <w:i/>
        </w:rPr>
        <w:t>”</w:t>
      </w:r>
      <w:r>
        <w:t xml:space="preserve">. Editorial Fundación Ross.  Rosario, 2000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303"/>
    <w:rsid w:val="00241D1D"/>
    <w:rsid w:val="00B04CC3"/>
    <w:rsid w:val="00B8630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00028"/>
  <w15:chartTrackingRefBased/>
  <w15:docId w15:val="{0E90186D-CACA-43BD-8F90-550267E77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6303"/>
    <w:pPr>
      <w:spacing w:after="0" w:line="360" w:lineRule="auto"/>
      <w:jc w:val="both"/>
    </w:pPr>
    <w:rPr>
      <w:rFonts w:ascii="Calibri" w:eastAsia="Calibri" w:hAnsi="Calibri" w:cs="Times New Roman"/>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B86303"/>
    <w:pPr>
      <w:spacing w:after="0" w:line="240" w:lineRule="auto"/>
      <w:jc w:val="both"/>
    </w:pPr>
    <w:rPr>
      <w:rFonts w:ascii="Calibri" w:eastAsia="Calibri" w:hAnsi="Calibri" w:cs="Times New Roman"/>
      <w:lang w:val="en-US"/>
    </w:rPr>
  </w:style>
  <w:style w:type="paragraph" w:styleId="NormalWeb">
    <w:name w:val="Normal (Web)"/>
    <w:basedOn w:val="Normal"/>
    <w:uiPriority w:val="99"/>
    <w:semiHidden/>
    <w:unhideWhenUsed/>
    <w:rsid w:val="00B86303"/>
    <w:pPr>
      <w:spacing w:before="100" w:beforeAutospacing="1" w:after="100" w:afterAutospacing="1" w:line="240" w:lineRule="auto"/>
      <w:jc w:val="left"/>
    </w:pPr>
    <w:rPr>
      <w:rFonts w:ascii="Times New Roman" w:eastAsiaTheme="minorEastAsia" w:hAnsi="Times New Roman"/>
      <w:sz w:val="24"/>
      <w:szCs w:val="24"/>
      <w:lang w:val="es-MX" w:eastAsia="es-MX"/>
    </w:rPr>
  </w:style>
  <w:style w:type="paragraph" w:styleId="Textonotapie">
    <w:name w:val="footnote text"/>
    <w:basedOn w:val="Normal"/>
    <w:link w:val="TextonotapieCar"/>
    <w:uiPriority w:val="99"/>
    <w:rsid w:val="00B86303"/>
    <w:pPr>
      <w:spacing w:line="240" w:lineRule="auto"/>
      <w:jc w:val="left"/>
    </w:pPr>
    <w:rPr>
      <w:rFonts w:ascii="Times New Roman" w:eastAsia="Times New Roman" w:hAnsi="Times New Roman"/>
      <w:sz w:val="20"/>
      <w:szCs w:val="20"/>
      <w:lang w:val="es-ES" w:eastAsia="es-ES"/>
    </w:rPr>
  </w:style>
  <w:style w:type="character" w:customStyle="1" w:styleId="TextonotapieCar">
    <w:name w:val="Texto nota pie Car"/>
    <w:basedOn w:val="Fuentedeprrafopredeter"/>
    <w:link w:val="Textonotapie"/>
    <w:uiPriority w:val="99"/>
    <w:rsid w:val="00B86303"/>
    <w:rPr>
      <w:rFonts w:ascii="Times New Roman" w:eastAsia="Times New Roman" w:hAnsi="Times New Roman" w:cs="Times New Roman"/>
      <w:sz w:val="20"/>
      <w:szCs w:val="20"/>
      <w:lang w:val="es-ES" w:eastAsia="es-ES"/>
    </w:rPr>
  </w:style>
  <w:style w:type="character" w:styleId="Refdenotaalpie">
    <w:name w:val="footnote reference"/>
    <w:rsid w:val="00B863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2896</Words>
  <Characters>15931</Characters>
  <Application>Microsoft Office Word</Application>
  <DocSecurity>0</DocSecurity>
  <Lines>132</Lines>
  <Paragraphs>37</Paragraphs>
  <ScaleCrop>false</ScaleCrop>
  <Company/>
  <LinksUpToDate>false</LinksUpToDate>
  <CharactersWithSpaces>18790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Carlos</dc:creator>
  <cp:keywords/>
  <dc:description/>
  <cp:lastModifiedBy>Jose Carlos</cp:lastModifiedBy>
  <cp:revision>1</cp:revision>
  <dcterms:created xsi:type="dcterms:W3CDTF">2025-10-27T18:04:00Z</dcterms:created>
  <dcterms:modified xsi:type="dcterms:W3CDTF">2025-10-27T18:06:00Z</dcterms:modified>
</cp:coreProperties>
</file>