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767A" w:rsidRPr="006C78F0" w:rsidRDefault="00CA767A" w:rsidP="00CA767A">
      <w:pPr>
        <w:jc w:val="center"/>
        <w:rPr>
          <w:b/>
          <w:sz w:val="40"/>
          <w:szCs w:val="40"/>
          <w:lang w:val="es-ES"/>
        </w:rPr>
      </w:pPr>
      <w:r w:rsidRPr="006C78F0">
        <w:rPr>
          <w:b/>
          <w:sz w:val="40"/>
          <w:szCs w:val="40"/>
          <w:lang w:val="es-ES"/>
        </w:rPr>
        <w:t>SICLA</w:t>
      </w:r>
    </w:p>
    <w:p w:rsidR="00CA767A" w:rsidRPr="006C78F0" w:rsidRDefault="00CA767A" w:rsidP="00CA767A">
      <w:pPr>
        <w:jc w:val="center"/>
        <w:rPr>
          <w:b/>
          <w:lang w:val="es-ES"/>
        </w:rPr>
      </w:pPr>
      <w:r w:rsidRPr="006C78F0">
        <w:rPr>
          <w:b/>
          <w:lang w:val="es-ES"/>
        </w:rPr>
        <w:t>SEMINARIO SOBRE IDENTIDAD CULTURAL LATINO</w:t>
      </w:r>
      <w:r>
        <w:rPr>
          <w:b/>
          <w:lang w:val="es-ES"/>
        </w:rPr>
        <w:t>-</w:t>
      </w:r>
      <w:r w:rsidRPr="006C78F0">
        <w:rPr>
          <w:b/>
          <w:lang w:val="es-ES"/>
        </w:rPr>
        <w:t>AMERICANA</w:t>
      </w:r>
    </w:p>
    <w:p w:rsidR="00CA767A" w:rsidRDefault="00CA767A" w:rsidP="00CA767A">
      <w:pPr>
        <w:jc w:val="center"/>
        <w:rPr>
          <w:b/>
          <w:lang w:val="es-ES"/>
        </w:rPr>
      </w:pPr>
      <w:r>
        <w:rPr>
          <w:b/>
          <w:lang w:val="es-ES"/>
        </w:rPr>
        <w:t>IV SIMPOSIO INTERNACIONAL</w:t>
      </w:r>
    </w:p>
    <w:p w:rsidR="00CA767A" w:rsidRDefault="00CA767A" w:rsidP="00CA767A">
      <w:pPr>
        <w:jc w:val="center"/>
        <w:rPr>
          <w:b/>
          <w:lang w:val="es-ES"/>
        </w:rPr>
      </w:pPr>
    </w:p>
    <w:p w:rsidR="00CA767A" w:rsidRDefault="00CA767A" w:rsidP="00CA767A">
      <w:pPr>
        <w:jc w:val="center"/>
        <w:rPr>
          <w:b/>
          <w:lang w:val="es-ES"/>
        </w:rPr>
      </w:pPr>
    </w:p>
    <w:p w:rsidR="00CA767A" w:rsidRDefault="00CA767A" w:rsidP="00CA767A">
      <w:pPr>
        <w:jc w:val="center"/>
        <w:rPr>
          <w:b/>
          <w:lang w:val="es-ES"/>
        </w:rPr>
      </w:pPr>
    </w:p>
    <w:p w:rsidR="00CA767A" w:rsidRDefault="00CA767A" w:rsidP="00CA767A">
      <w:pPr>
        <w:jc w:val="center"/>
        <w:rPr>
          <w:b/>
          <w:lang w:val="es-ES"/>
        </w:rPr>
      </w:pPr>
    </w:p>
    <w:p w:rsidR="00CA767A" w:rsidRPr="006C78F0" w:rsidRDefault="00CA767A" w:rsidP="00CA767A">
      <w:pPr>
        <w:jc w:val="center"/>
        <w:rPr>
          <w:b/>
          <w:lang w:val="es-ES"/>
        </w:rPr>
      </w:pPr>
    </w:p>
    <w:p w:rsidR="00CA767A" w:rsidRDefault="00CA767A" w:rsidP="00CA767A">
      <w:pPr>
        <w:jc w:val="center"/>
        <w:rPr>
          <w:b/>
          <w:lang w:val="es-ES"/>
        </w:rPr>
      </w:pPr>
    </w:p>
    <w:p w:rsidR="00CA767A" w:rsidRDefault="00CA767A" w:rsidP="00CA767A">
      <w:pPr>
        <w:jc w:val="center"/>
        <w:rPr>
          <w:b/>
          <w:lang w:val="es-ES"/>
        </w:rPr>
      </w:pPr>
    </w:p>
    <w:p w:rsidR="00CA767A" w:rsidRDefault="00CA767A" w:rsidP="00CA767A">
      <w:pPr>
        <w:jc w:val="center"/>
        <w:rPr>
          <w:b/>
          <w:lang w:val="es-ES"/>
        </w:rPr>
      </w:pPr>
    </w:p>
    <w:p w:rsidR="00CA767A" w:rsidRDefault="00CA767A" w:rsidP="00CA767A">
      <w:pPr>
        <w:jc w:val="center"/>
        <w:rPr>
          <w:b/>
          <w:sz w:val="32"/>
          <w:szCs w:val="32"/>
          <w:lang w:val="es-ES"/>
        </w:rPr>
      </w:pPr>
      <w:r>
        <w:rPr>
          <w:b/>
          <w:noProof/>
          <w:sz w:val="32"/>
          <w:szCs w:val="32"/>
          <w:lang w:val="es-MX" w:eastAsia="es-MX"/>
        </w:rPr>
        <mc:AlternateContent>
          <mc:Choice Requires="wps">
            <w:drawing>
              <wp:inline distT="0" distB="0" distL="0" distR="0">
                <wp:extent cx="5610225" cy="381000"/>
                <wp:effectExtent l="9525" t="57150" r="12065" b="9525"/>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610225" cy="381000"/>
                        </a:xfrm>
                        <a:prstGeom prst="rect">
                          <a:avLst/>
                        </a:prstGeom>
                        <a:extLst>
                          <a:ext uri="{AF507438-7753-43E0-B8FC-AC1667EBCBE1}">
                            <a14:hiddenEffects xmlns:a14="http://schemas.microsoft.com/office/drawing/2010/main">
                              <a:effectLst/>
                            </a14:hiddenEffects>
                          </a:ext>
                        </a:extLst>
                      </wps:spPr>
                      <wps:txbx>
                        <w:txbxContent>
                          <w:p w:rsidR="00CA767A" w:rsidRDefault="00CA767A" w:rsidP="00CA767A">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wps:txbx>
                      <wps:bodyPr wrap="square" numCol="1" fromWordArt="1">
                        <a:prstTxWarp prst="textCanDown">
                          <a:avLst>
                            <a:gd name="adj" fmla="val 33333"/>
                          </a:avLst>
                        </a:prstTxWarp>
                        <a:spAutoFit/>
                      </wps:bodyPr>
                    </wps:wsp>
                  </a:graphicData>
                </a:graphic>
              </wp:inline>
            </w:drawing>
          </mc:Choice>
          <mc:Fallback>
            <w:pict>
              <v:shapetype id="_x0000_t202" coordsize="21600,21600" o:spt="202" path="m,l,21600r21600,l21600,xe">
                <v:stroke joinstyle="miter"/>
                <v:path gradientshapeok="t" o:connecttype="rect"/>
              </v:shapetype>
              <v:shape id="Cuadro de texto 1" o:spid="_x0000_s1026" type="#_x0000_t202" style="width:441.75pt;height: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" filled="f" stroked="f">
                <o:lock v:ext="edit" shapetype="t"/>
                <v:textbox style="mso-fit-shape-to-text:t">
                  <w:txbxContent>
                    <w:p w:rsidR="00CA767A" w:rsidRDefault="00CA767A" w:rsidP="00CA767A">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v:textbox>
                <w10:anchorlock/>
              </v:shape>
            </w:pict>
          </mc:Fallback>
        </mc:AlternateContent>
      </w:r>
    </w:p>
    <w:p w:rsidR="00CA767A" w:rsidRDefault="00CA767A" w:rsidP="00CA767A">
      <w:pPr>
        <w:jc w:val="center"/>
        <w:rPr>
          <w:b/>
          <w:lang w:val="es-ES"/>
        </w:rPr>
      </w:pPr>
      <w:r w:rsidRPr="006C78F0">
        <w:rPr>
          <w:b/>
          <w:lang w:val="es-ES"/>
        </w:rPr>
        <w:t>HISTORIA, PENSAMIENTO</w:t>
      </w:r>
      <w:r>
        <w:rPr>
          <w:b/>
          <w:lang w:val="es-ES"/>
        </w:rPr>
        <w:t xml:space="preserve"> Y </w:t>
      </w:r>
      <w:r w:rsidRPr="006C78F0">
        <w:rPr>
          <w:b/>
          <w:lang w:val="es-ES"/>
        </w:rPr>
        <w:t>CULTURA</w:t>
      </w:r>
    </w:p>
    <w:p w:rsidR="00CA767A" w:rsidRDefault="00CA767A" w:rsidP="00CA767A">
      <w:pPr>
        <w:jc w:val="center"/>
        <w:rPr>
          <w:b/>
          <w:lang w:val="es-ES"/>
        </w:rPr>
      </w:pPr>
    </w:p>
    <w:p w:rsidR="00CA767A" w:rsidRPr="00E908EA" w:rsidRDefault="00CA767A" w:rsidP="00CA767A">
      <w:pPr>
        <w:jc w:val="right"/>
        <w:rPr>
          <w:b/>
          <w:i/>
          <w:sz w:val="20"/>
          <w:szCs w:val="20"/>
          <w:lang w:val="es-ES"/>
        </w:rPr>
      </w:pPr>
      <w:r w:rsidRPr="00E908EA">
        <w:rPr>
          <w:b/>
          <w:i/>
          <w:sz w:val="20"/>
          <w:szCs w:val="20"/>
          <w:lang w:val="es-ES"/>
        </w:rPr>
        <w:t>EDITORES:</w:t>
      </w:r>
    </w:p>
    <w:p w:rsidR="00CA767A" w:rsidRDefault="00CA767A" w:rsidP="00CA767A">
      <w:pPr>
        <w:jc w:val="right"/>
        <w:rPr>
          <w:b/>
          <w:i/>
          <w:sz w:val="20"/>
          <w:szCs w:val="20"/>
          <w:lang w:val="es-ES"/>
        </w:rPr>
      </w:pPr>
      <w:r w:rsidRPr="00E908EA">
        <w:rPr>
          <w:b/>
          <w:i/>
          <w:sz w:val="20"/>
          <w:szCs w:val="20"/>
          <w:lang w:val="es-ES"/>
        </w:rPr>
        <w:t xml:space="preserve"> JACINTO CHOZA</w:t>
      </w:r>
      <w:r>
        <w:rPr>
          <w:b/>
          <w:i/>
          <w:sz w:val="20"/>
          <w:szCs w:val="20"/>
          <w:lang w:val="es-ES"/>
        </w:rPr>
        <w:t xml:space="preserve">, </w:t>
      </w:r>
      <w:r w:rsidRPr="004573BF">
        <w:rPr>
          <w:b/>
          <w:i/>
          <w:sz w:val="20"/>
          <w:szCs w:val="20"/>
          <w:lang w:val="es-ES"/>
        </w:rPr>
        <w:t xml:space="preserve"> </w:t>
      </w:r>
      <w:r w:rsidRPr="00E908EA">
        <w:rPr>
          <w:b/>
          <w:i/>
          <w:sz w:val="20"/>
          <w:szCs w:val="20"/>
          <w:lang w:val="es-ES"/>
        </w:rPr>
        <w:t xml:space="preserve">SENY HERNÁNDEZ, </w:t>
      </w:r>
    </w:p>
    <w:p w:rsidR="00CA767A" w:rsidRPr="00E908EA" w:rsidRDefault="00CA767A" w:rsidP="00CA767A">
      <w:pPr>
        <w:jc w:val="right"/>
        <w:rPr>
          <w:b/>
          <w:sz w:val="20"/>
          <w:szCs w:val="20"/>
          <w:lang w:val="es-ES"/>
        </w:rPr>
      </w:pPr>
      <w:r w:rsidRPr="00E908EA">
        <w:rPr>
          <w:b/>
          <w:i/>
          <w:sz w:val="20"/>
          <w:szCs w:val="20"/>
          <w:lang w:val="es-ES"/>
        </w:rPr>
        <w:t>JUAN J. PADIAL Y MARIO RAMOS-REYES</w:t>
      </w:r>
      <w:r>
        <w:rPr>
          <w:b/>
          <w:sz w:val="20"/>
          <w:szCs w:val="20"/>
          <w:lang w:val="es-ES"/>
        </w:rPr>
        <w:t>.</w:t>
      </w:r>
    </w:p>
    <w:p w:rsidR="00CA767A" w:rsidRDefault="00CA767A" w:rsidP="00CA767A">
      <w:pPr>
        <w:jc w:val="center"/>
        <w:rPr>
          <w:b/>
          <w:lang w:val="es-ES"/>
        </w:rPr>
      </w:pPr>
    </w:p>
    <w:p w:rsidR="00CA767A" w:rsidRDefault="00CA767A" w:rsidP="00CA767A">
      <w:pPr>
        <w:jc w:val="center"/>
        <w:rPr>
          <w:b/>
          <w:lang w:val="es-ES"/>
        </w:rPr>
      </w:pPr>
    </w:p>
    <w:p w:rsidR="00CA767A" w:rsidRDefault="00CA767A" w:rsidP="00CA767A">
      <w:pPr>
        <w:pStyle w:val="Sinespaciado"/>
        <w:jc w:val="center"/>
        <w:rPr>
          <w:b/>
          <w:lang w:val="es-ES"/>
        </w:rPr>
      </w:pPr>
    </w:p>
    <w:p w:rsidR="00CA767A" w:rsidRDefault="00CA767A" w:rsidP="00CA767A">
      <w:pPr>
        <w:pStyle w:val="Sinespaciado"/>
        <w:jc w:val="center"/>
        <w:rPr>
          <w:b/>
          <w:lang w:val="es-ES"/>
        </w:rPr>
      </w:pPr>
    </w:p>
    <w:p w:rsidR="00CA767A" w:rsidRDefault="00CA767A" w:rsidP="00CA767A">
      <w:pPr>
        <w:pStyle w:val="Sinespaciado"/>
        <w:jc w:val="center"/>
        <w:rPr>
          <w:b/>
          <w:lang w:val="es-ES"/>
        </w:rPr>
      </w:pPr>
    </w:p>
    <w:p w:rsidR="00CA767A" w:rsidRDefault="00CA767A" w:rsidP="00CA767A">
      <w:pPr>
        <w:pStyle w:val="Sinespaciado"/>
        <w:jc w:val="center"/>
        <w:rPr>
          <w:b/>
          <w:lang w:val="es-ES"/>
        </w:rPr>
      </w:pPr>
    </w:p>
    <w:p w:rsidR="00CA767A" w:rsidRDefault="00CA767A" w:rsidP="00CA767A">
      <w:pPr>
        <w:pStyle w:val="Sinespaciado"/>
        <w:jc w:val="center"/>
        <w:rPr>
          <w:b/>
          <w:lang w:val="es-ES"/>
        </w:rPr>
      </w:pPr>
    </w:p>
    <w:p w:rsidR="00CA767A" w:rsidRPr="00E908EA" w:rsidRDefault="00CA767A" w:rsidP="00CA767A">
      <w:pPr>
        <w:pStyle w:val="Sinespaciado"/>
        <w:jc w:val="center"/>
        <w:rPr>
          <w:b/>
          <w:lang w:val="es-ES"/>
        </w:rPr>
      </w:pPr>
      <w:r w:rsidRPr="00E908EA">
        <w:rPr>
          <w:b/>
          <w:lang w:val="es-ES"/>
        </w:rPr>
        <w:t>ASUNCIÓN-PARAGUAY</w:t>
      </w:r>
    </w:p>
    <w:p w:rsidR="00CA767A" w:rsidRPr="00E908EA" w:rsidRDefault="00CA767A" w:rsidP="00CA767A">
      <w:pPr>
        <w:pStyle w:val="Sinespaciado"/>
        <w:jc w:val="center"/>
        <w:rPr>
          <w:b/>
          <w:lang w:val="es-ES"/>
        </w:rPr>
      </w:pPr>
      <w:r w:rsidRPr="00E908EA">
        <w:rPr>
          <w:b/>
          <w:lang w:val="es-ES"/>
        </w:rPr>
        <w:t>JUNIO</w:t>
      </w:r>
    </w:p>
    <w:p w:rsidR="00CA767A" w:rsidRPr="00E908EA" w:rsidRDefault="00CA767A" w:rsidP="00CA767A">
      <w:pPr>
        <w:pStyle w:val="Sinespaciado"/>
        <w:jc w:val="center"/>
        <w:rPr>
          <w:b/>
          <w:lang w:val="es-ES"/>
        </w:rPr>
      </w:pPr>
      <w:r w:rsidRPr="00E908EA">
        <w:rPr>
          <w:b/>
          <w:lang w:val="es-ES"/>
        </w:rPr>
        <w:t>2011</w:t>
      </w:r>
    </w:p>
    <w:p w:rsidR="00CA767A" w:rsidRDefault="00CA767A"/>
    <w:p w:rsidR="00CA767A" w:rsidRDefault="00CA767A"/>
    <w:p w:rsidR="00CA767A" w:rsidRDefault="00CA767A"/>
    <w:p w:rsidR="00CA767A" w:rsidRDefault="00CA767A" w:rsidP="00CA767A">
      <w:pPr>
        <w:jc w:val="left"/>
        <w:rPr>
          <w:b/>
          <w:lang w:val="es-ES"/>
        </w:rPr>
      </w:pPr>
      <w:r>
        <w:rPr>
          <w:b/>
          <w:lang w:val="es-ES"/>
        </w:rPr>
        <w:lastRenderedPageBreak/>
        <w:t>13.- Mario</w:t>
      </w:r>
      <w:bookmarkStart w:id="0" w:name="_GoBack"/>
      <w:bookmarkEnd w:id="0"/>
      <w:r>
        <w:rPr>
          <w:b/>
          <w:lang w:val="es-ES"/>
        </w:rPr>
        <w:t xml:space="preserve"> Ramos-Reyes, University of Kansas, Estados Unidos:</w:t>
      </w:r>
      <w:r>
        <w:rPr>
          <w:b/>
          <w:lang w:val="es-ES"/>
        </w:rPr>
        <w:br/>
        <w:t>Hacia una superación de la cuaresma ideológica: una propuesta republicana.</w:t>
      </w:r>
    </w:p>
    <w:p w:rsidR="00CA767A" w:rsidRDefault="00CA767A" w:rsidP="00CA767A">
      <w:pPr>
        <w:spacing w:before="100" w:beforeAutospacing="1" w:after="100" w:afterAutospacing="1"/>
        <w:jc w:val="center"/>
        <w:rPr>
          <w:lang w:val="es-ES"/>
        </w:rPr>
      </w:pPr>
      <w:r>
        <w:rPr>
          <w:lang w:val="es-ES"/>
        </w:rPr>
        <w:t>“Con los pies en el Rosario, la cabeza blanca y el cuerpo pinto de indio y criolla vinimos, denodados, al mundo de las naciones. Con el   estandarte de la Virgen salimos a la conquista de la libertad.”</w:t>
      </w:r>
    </w:p>
    <w:p w:rsidR="00CA767A" w:rsidRDefault="00CA767A" w:rsidP="00CA767A">
      <w:pPr>
        <w:spacing w:before="100" w:beforeAutospacing="1" w:after="100" w:afterAutospacing="1"/>
        <w:ind w:left="2880"/>
        <w:rPr>
          <w:lang w:val="es-ES"/>
        </w:rPr>
      </w:pPr>
      <w:r>
        <w:rPr>
          <w:lang w:val="es-ES"/>
        </w:rPr>
        <w:t xml:space="preserve">                     José Martí</w:t>
      </w:r>
      <w:r>
        <w:rPr>
          <w:rStyle w:val="Refdenotaalpie"/>
        </w:rPr>
        <w:footnoteReference w:id="1"/>
      </w:r>
    </w:p>
    <w:p w:rsidR="00CA767A" w:rsidRDefault="00CA767A" w:rsidP="00CA767A">
      <w:pPr>
        <w:spacing w:before="100" w:beforeAutospacing="1" w:after="100" w:afterAutospacing="1"/>
        <w:rPr>
          <w:lang w:val="es-ES"/>
        </w:rPr>
      </w:pPr>
      <w:r>
        <w:rPr>
          <w:lang w:val="es-ES"/>
        </w:rPr>
        <w:t>a.</w:t>
      </w:r>
      <w:r>
        <w:rPr>
          <w:u w:val="single"/>
          <w:lang w:val="es-ES"/>
        </w:rPr>
        <w:t xml:space="preserve"> </w:t>
      </w:r>
      <w:r>
        <w:rPr>
          <w:i/>
          <w:u w:val="single"/>
          <w:lang w:val="es-ES"/>
        </w:rPr>
        <w:t>Introducción</w:t>
      </w:r>
      <w:r>
        <w:rPr>
          <w:i/>
          <w:lang w:val="es-ES"/>
        </w:rPr>
        <w:t xml:space="preserve"> </w:t>
      </w:r>
    </w:p>
    <w:p w:rsidR="00CA767A" w:rsidRDefault="00CA767A" w:rsidP="00CA767A">
      <w:pPr>
        <w:spacing w:before="100" w:beforeAutospacing="1" w:after="100" w:afterAutospacing="1"/>
        <w:rPr>
          <w:lang w:val="es-MX"/>
        </w:rPr>
      </w:pPr>
      <w:r>
        <w:rPr>
          <w:lang w:val="es-MX"/>
        </w:rPr>
        <w:tab/>
        <w:t xml:space="preserve">1. La historia de </w:t>
      </w:r>
      <w:r>
        <w:rPr>
          <w:lang w:val="es-VE"/>
        </w:rPr>
        <w:t>nuestro</w:t>
      </w:r>
      <w:r>
        <w:rPr>
          <w:lang w:val="es-MX"/>
        </w:rPr>
        <w:t xml:space="preserve"> pueblo y de nuestros pueblos no es idéntica a la historia de nuestros estados nacionales. La historia de la nación va más allá, o más atrás.  Una mera identificación  de ambas realidades no hace sino confiar al poder y a la ideología la solución a los problemas y la marcha de la historia. La política agota toda la realidad. El estado socava y absorbe  de manera exclusiva el espacio público</w:t>
      </w:r>
      <w:r>
        <w:rPr>
          <w:rStyle w:val="Refdenotaalpie"/>
          <w:lang w:val="es-MX"/>
        </w:rPr>
        <w:footnoteReference w:id="2"/>
      </w:r>
      <w:r>
        <w:rPr>
          <w:lang w:val="es-MX"/>
        </w:rPr>
        <w:t xml:space="preserve">  Si esto es así, entonces, no se deja mucho lugar para el sujeto del pueblo y su historia, una experiencia previa al Estado-nación  y por lo tanto a las tradiciones culturales del mismo. Se olvida, en fin,  y eso es pavoroso – como diría el querido maestro Adriano Irala Burgos – que al Viernes Santo le sigue el Domingo de Resurrección. Significa que se debe superar</w:t>
      </w:r>
      <w:r>
        <w:rPr>
          <w:bCs/>
          <w:lang w:val="es-MX"/>
        </w:rPr>
        <w:t xml:space="preserve"> la cuaresma ideológica, y apuntar a construir una propuesta republicana pluralista y democrática.</w:t>
      </w:r>
      <w:r>
        <w:rPr>
          <w:lang w:val="es-MX"/>
        </w:rPr>
        <w:t xml:space="preserve"> Ese era el deseo, expresado de manera explicita, del patriota José Martí.  Decía el cubano que las nuevas repúblicas independientes de América, y lo decía al decaer el liberal siglo diecinueve, no eran tales sino remedos, copias sibilinas o monarquías fingidas, meros absolutismos encubiertos, </w:t>
      </w:r>
      <w:r>
        <w:rPr>
          <w:lang w:val="es-ES"/>
        </w:rPr>
        <w:t xml:space="preserve">simulados, ficticios modelos de libertad. </w:t>
      </w:r>
      <w:r>
        <w:rPr>
          <w:lang w:val="es-MX"/>
        </w:rPr>
        <w:t xml:space="preserve">En todo caso, reflejaban formas políticas nostálgicas atrapadas en un lento proceso en donde nuevos despotismos fungían como  agentes del cambio. El poder y su ejercicio como tal no habrían, entonces, variado mucho. Cuanto más, habría significado un rasguño en la superficie centralista-absolutista  por una conciencia de querer ser libres y el deseo de ser protagonistas del propio destino.  Pero nada más. El poder del  nuevo estado lo había copado todo.  El poder absolutista de la colonia – nos decía Martí, -  “siguió viviendo en la </w:t>
      </w:r>
      <w:r>
        <w:rPr>
          <w:lang w:val="es-MX"/>
        </w:rPr>
        <w:lastRenderedPageBreak/>
        <w:t xml:space="preserve">república.” </w:t>
      </w:r>
      <w:r>
        <w:rPr>
          <w:rStyle w:val="Refdenotaalpie"/>
          <w:lang w:val="es-MX"/>
        </w:rPr>
        <w:footnoteReference w:id="3"/>
      </w:r>
      <w:r>
        <w:rPr>
          <w:lang w:val="es-MX"/>
        </w:rPr>
        <w:t xml:space="preserve">  Sabemos que Martí  fue no solamente poeta y escritor, patriota y mártir sino que fue, sobre todo, profeta, y lo fue de la raza de aquellos  que desean que el cumplimiento de su predicción no llegue a puerto. Profetas como él miran para atrás</w:t>
      </w:r>
      <w:r>
        <w:rPr>
          <w:lang w:val="es-PY"/>
        </w:rPr>
        <w:t xml:space="preserve">, como de reojo a las experiencias vividas por una nación, toman conciencia del propio ser, y el pulso de la historicidad para avizorar lo que se viene. </w:t>
      </w:r>
      <w:r>
        <w:rPr>
          <w:lang w:val="es-MX"/>
        </w:rPr>
        <w:t xml:space="preserve">Ese es, salvando las distancias de talento y de tiempo lo que pretendemos proponer en esta breve ponencia. </w:t>
      </w:r>
    </w:p>
    <w:p w:rsidR="00CA767A" w:rsidRDefault="00CA767A" w:rsidP="00CA767A">
      <w:pPr>
        <w:spacing w:before="100" w:beforeAutospacing="1" w:after="100" w:afterAutospacing="1"/>
        <w:ind w:firstLine="720"/>
        <w:rPr>
          <w:lang w:val="es-MX"/>
        </w:rPr>
      </w:pPr>
      <w:r>
        <w:rPr>
          <w:lang w:val="es-MX"/>
        </w:rPr>
        <w:t>2. ¿Qué era eso de “república epidérmica.”?  Este modelo suponía todas las ventajas de una superación del absolutismo monárquico como la entronización de la  regla del derecho y una constitución escrita, pesos, separación y contrapeso de los poderes, cierto y limitado sufragio, y, libre circulación de ideas y de libros; en suma, la aspiración iluminista a la igualdad de derechos de los ciudadanos como tales</w:t>
      </w:r>
      <w:r>
        <w:rPr>
          <w:rStyle w:val="Refdenotaalpie"/>
          <w:lang w:val="es-MX"/>
        </w:rPr>
        <w:footnoteReference w:id="4"/>
      </w:r>
      <w:r>
        <w:rPr>
          <w:lang w:val="es-MX"/>
        </w:rPr>
        <w:t>. Era un proyecto de autodeterminación pero carente, por el momento, de un contexto cultural favorable que hiciera sustantivo  y real como modelo histórico vigente. Así, el crecimiento de una república sustantiva se hizo difícil, trabajoso, brutal. ¿Estaba la América preparada para autogobernarse, súbitamente, divorciada de la unidad centralizadora de la metrópoli? Al interior de los sistemas, una nostalgia persistía, presionada por la restauración europea, y las pretensiones imperiales del napoleonismo que aparecía poco fiel a los principios liberales que invocaba; y sobre todo, debido a la ingente fragmentación de las nuevas repúblicas; tentadas desde siempre a instaurar el orden antes como confiar en la  libertad .</w:t>
      </w:r>
    </w:p>
    <w:p w:rsidR="00CA767A" w:rsidRDefault="00CA767A" w:rsidP="00CA767A">
      <w:pPr>
        <w:spacing w:before="100" w:beforeAutospacing="1" w:after="100" w:afterAutospacing="1"/>
        <w:ind w:firstLine="720"/>
        <w:rPr>
          <w:lang w:val="es-MX"/>
        </w:rPr>
      </w:pPr>
      <w:r>
        <w:rPr>
          <w:lang w:val="es-MX"/>
        </w:rPr>
        <w:t xml:space="preserve">                                                                                                                                                                         3. Así parece ser. La república y el republicanismo como tal, dio luz a  distintas formas y expresiones en Hispanoamérica. La intención  de esa forma del nuevo estado era el estar en contra del pasado: la república estaba contra la monarquía. Pero significaba, posiblemente, algo más radical; algo más que la separación de la metrópoli; agregaba una dimensión de ideales y pretensión moral de autogobierno.</w:t>
      </w:r>
      <w:r>
        <w:rPr>
          <w:rStyle w:val="Refdenotaalpie"/>
          <w:lang w:val="es-MX"/>
        </w:rPr>
        <w:footnoteReference w:id="5"/>
      </w:r>
      <w:r>
        <w:rPr>
          <w:lang w:val="es-MX"/>
        </w:rPr>
        <w:t xml:space="preserve"> Republicano era el calificativo de salvación contra las pretensiones realistas;  la carta de ciudadanía y progreso, una nueva forma, en fin,  que abría la avenida hacia la  vertebración institucional de las ideas liberales que se venían en tropel desde la misma madre patria. Bolívar es </w:t>
      </w:r>
      <w:r>
        <w:rPr>
          <w:lang w:val="es-MX"/>
        </w:rPr>
        <w:lastRenderedPageBreak/>
        <w:t xml:space="preserve">un caso de esos. Entrevió la necesidad de una estabilidad  republicana cuyos contenidos sean tales que armonizasen  la miríada de centros de poder. Fue, en lo que a ello respecta,  un visionario, pero, la fragmentación y falta de comunicación entre los estados nacionales no ayudo esa búsqueda y deseo de unidad. ¿Había algo más que impedía  la implementación de una noción más sustantiva y no meramente formal de república? </w:t>
      </w:r>
    </w:p>
    <w:p w:rsidR="00CA767A" w:rsidRDefault="00CA767A" w:rsidP="00CA767A">
      <w:pPr>
        <w:spacing w:before="100" w:beforeAutospacing="1" w:after="100" w:afterAutospacing="1"/>
        <w:ind w:firstLine="720"/>
        <w:rPr>
          <w:lang w:val="es-MX"/>
        </w:rPr>
      </w:pPr>
      <w:r>
        <w:rPr>
          <w:lang w:val="es-MX"/>
        </w:rPr>
        <w:t xml:space="preserve">4. El proyecto de la consolidación de la independencia y la construcción de nuevas repúblicas parecería enfrentar, entonces,  no solo a enemigos absolutistas y restauradores de fuera sino también a enemigos interiores. De ahí el reclamo de Juan Bautista Alberdi hacia 1840, de la necesidad de pensar primero y formular mas tarde, una filosofía auténticamente americana. Buscar la autenticidad es, después de todo, buscar la identidad original. Es que, decía, “así como ha existido una filosofía griega, una filosofía alemana, o una filosofía francesa, entonces es necesario que exista una filosofía americana.” </w:t>
      </w:r>
      <w:r>
        <w:rPr>
          <w:rStyle w:val="Refdenotaalpie"/>
          <w:lang w:val="es-MX"/>
        </w:rPr>
        <w:footnoteReference w:id="6"/>
      </w:r>
      <w:r>
        <w:rPr>
          <w:lang w:val="es-MX"/>
        </w:rPr>
        <w:t xml:space="preserve"> La preocupación de Alberdi era justificada; América seguía practicando,  siguiendo la narrativa alberdiana, lo que pensaba Europa. Pero la ruptura política; exigía autonomía, independencia intelectual. De ahí que lo autentico del pensar debía nutrirse no solamente de problemas propios, y de las necesidades regionales sino que,  en estricta vía férrea político-cultural, debía generar  soluciones concretas, modelos viables. Esta propuesta despertó, no cabe duda, el más vivo interés sobre todo siendo el mismo Alberdi parte de una generación que, siendo auto-conciente quizás de sus límites, llamaba la atención sobre la urgencia del pensar propio. </w:t>
      </w:r>
    </w:p>
    <w:p w:rsidR="00CA767A" w:rsidRDefault="00CA767A" w:rsidP="00CA767A">
      <w:pPr>
        <w:spacing w:before="100" w:beforeAutospacing="1" w:after="100" w:afterAutospacing="1"/>
        <w:ind w:firstLine="720"/>
        <w:rPr>
          <w:lang w:val="es-MX"/>
        </w:rPr>
      </w:pPr>
      <w:r>
        <w:rPr>
          <w:lang w:val="es-MX"/>
        </w:rPr>
        <w:t>5. Pero Alberdi fue, como tantos otros, europeísta y sobre todo positivista. El positivismo era el movimiento de ideas, se mostraba como la síntesis de la realidad. El positivismo decimonónico  devendría para las repúblicas liberadas, el grito de una nueva aurora, anunciando una presunta  gobernabilidad científica como eje de unidad. Así, el credo positivista,  no solo sustituirá al antiguo barroco, sino que promoverá a ciertos próceres como los  santos del nuevo tiempo.</w:t>
      </w:r>
      <w:r>
        <w:rPr>
          <w:rStyle w:val="Refdenotaalpie"/>
          <w:lang w:val="es-MX"/>
        </w:rPr>
        <w:footnoteReference w:id="7"/>
      </w:r>
      <w:r>
        <w:rPr>
          <w:lang w:val="es-MX"/>
        </w:rPr>
        <w:t xml:space="preserve">  Arropado de levita y bastón, caminando en nuestras siestas calcinadas de viento norte, e invocando la etapa emancipatoria de gran parte de la  cultura latinoamericana y paraguaya, el positivismo clamaba ser el vehículo de liberación mental. Su catecismo, no obstante, fue limitante, mezquino: frenó el saber,  reduciendo el conocimiento y la sabiduría política a lo expediente, inmediato, práctico, enalteciendo </w:t>
      </w:r>
      <w:r>
        <w:rPr>
          <w:lang w:val="es-MX"/>
        </w:rPr>
        <w:lastRenderedPageBreak/>
        <w:t xml:space="preserve">lo episódico y lo anecdótico por sobre lo sustancial de los valores. Pero hay más. Ese nuevo  Comtismo latino-americanizado,  facilitaría  la creación y  permanencia de una elite oligárquica en el liderazgo de los nuevos estados nacionales en la segunda mitad del siglo,  haciendo del ideal  republicano mera formalidad dentro de una larga vía-crucis paternalista-autoritaria y donde incubará y nutrirá a variadas formas de caudillismo, ya restauradores o conservadores, ya liberales o progresistas, serán mezquinos a los cambios  de fondo. No puede extrañar, entonces, que la propuesta “alberdiana” no permaneció ajena a las críticas ni estuvo ausente de contradicciones. El argentino no dejaba de abogar por una filosofía de cuño positivista pero, debe advertirse,  encarnada en un contexto diferente: es decir aggiornada a la realidad americana de entonces. </w:t>
      </w:r>
    </w:p>
    <w:p w:rsidR="00CA767A" w:rsidRDefault="00CA767A" w:rsidP="00CA767A">
      <w:pPr>
        <w:spacing w:before="100" w:beforeAutospacing="1" w:after="100" w:afterAutospacing="1"/>
        <w:ind w:firstLine="720"/>
        <w:rPr>
          <w:lang w:val="es-MX"/>
        </w:rPr>
      </w:pPr>
      <w:r>
        <w:rPr>
          <w:lang w:val="es-MX"/>
        </w:rPr>
        <w:t xml:space="preserve">6. Pero la intención de Alberdi, me atrevo a sugerir, continua siendo válida  y digna de ser repensada en este bicentenario: es la exigencia de un repensar, aunque fuera de manera sintética, una propuesta, un proyecto de convivencia.  Esta propuesta no es mera utopía soñada que serviría para mover nuestras, muy a menudo, adormecidas energías cívicas, sino la de poseer un punto de referencia para la construcción trabajosa y continua de un proyecto nacional en un mundo pluralista y global. Para ello, primero, nuestra exposición seguirá los pasos de superación del positivismo que la lectura del pensamiento latinoamericano ha sugerido. El filosofo argentino Alejandro Korn  y nuestro pensador Eligio Ayala serán, en esta jornada, dos testigos de la experiencia que proponemos.  Seguidamente, el tema de la crisis desatada por las revoluciones de la independencia y sus modelos alternativos serán sintetizadas.  Una ruptura y escisión, al parecer, que se profundiza al repensar o buscar identidad. ¿Dónde radicaba la dificultad? En la configuración de dos modelos paralelos, alternativos y en pugna. Finalmente, la necesidad de una </w:t>
      </w:r>
      <w:r>
        <w:rPr>
          <w:bCs/>
          <w:lang w:val="es-MX"/>
        </w:rPr>
        <w:t>superación de esa cuaresma ideológica</w:t>
      </w:r>
      <w:r>
        <w:rPr>
          <w:lang w:val="es-MX"/>
        </w:rPr>
        <w:t xml:space="preserve"> descrita será propuesto como una nueva forma de república: autogobierno, solidaridad, gratuidad  Un pueblo que no conserve la memoria histórica de sus gestas fundacionales, se convierte, tarde o temprano, en un cuerpo político inerme para darse cuenta de su destino.  Si bien dicha realización no sería nunca perfecta, es vital reflexionar sobre la misma en este momento. Este llamado continúa, y se ha transformado hoy en un reto para cada ciudadano a pensar su propia experiencia de libertad sin esperar a que el pensamiento venga de un reino de iluminados, sino del protagonismo de los auto-gobernados que construyen su propio sujeto histórico. </w:t>
      </w:r>
    </w:p>
    <w:p w:rsidR="00CA767A" w:rsidRDefault="00CA767A" w:rsidP="00CA767A">
      <w:pPr>
        <w:spacing w:before="100" w:beforeAutospacing="1" w:after="100" w:afterAutospacing="1"/>
        <w:rPr>
          <w:lang w:val="es-MX"/>
        </w:rPr>
      </w:pPr>
      <w:r>
        <w:rPr>
          <w:lang w:val="es-MX"/>
        </w:rPr>
        <w:t xml:space="preserve">b. </w:t>
      </w:r>
      <w:r>
        <w:rPr>
          <w:i/>
          <w:u w:val="single"/>
          <w:lang w:val="es-MX"/>
        </w:rPr>
        <w:t>Korn  y  Ayala: una historia más allá del positivismo</w:t>
      </w:r>
    </w:p>
    <w:p w:rsidR="00CA767A" w:rsidRDefault="00CA767A" w:rsidP="00CA767A">
      <w:pPr>
        <w:spacing w:before="100" w:beforeAutospacing="1" w:after="100" w:afterAutospacing="1"/>
        <w:ind w:firstLine="720"/>
        <w:rPr>
          <w:lang w:val="es-MX"/>
        </w:rPr>
      </w:pPr>
      <w:r>
        <w:rPr>
          <w:lang w:val="es-MX"/>
        </w:rPr>
        <w:lastRenderedPageBreak/>
        <w:t>1. Debemos superar la cuaresma positivista fue el  grito que, hacia inicios del siglo veinte, el argentino Alejandro Korn advertía  a las nuevas generaciones de latinoamericanos. La identidad no se encontraba en finanzas o políticas públicas científicas. No radicaba en el positivismo decimonónico.  La crisis de los modelos políticos inspirados en ese credo de pensamiento y que había impregnado la cultura latinoamericana, la había  paralizado intelectualmente, y Korn  exigía una vuelta a los valores, a la cultura de lo humano, a la metafísica, a la búsqueda de un modelo que diera solidez a la libertad política. El paraguayo Eligio Ayala, ya en la segunda década del siglo veinte, reivindica lo mismo pues– “la necesidad del ideal,  del ir más allá, de aquello que nos ha llegado a través de las edades, a través de generaciones,” es urgente</w:t>
      </w:r>
      <w:r>
        <w:rPr>
          <w:rStyle w:val="Refdenotaalpie"/>
          <w:lang w:val="es-MX"/>
        </w:rPr>
        <w:footnoteReference w:id="8"/>
      </w:r>
      <w:r>
        <w:rPr>
          <w:lang w:val="es-MX"/>
        </w:rPr>
        <w:t xml:space="preserve"> Es que –  sigue Eligio - y a pesar del “análisis del positivismo y del realismo mecanicista,”  existe en nosotros – ese deseo, prevenía, un deseo hacia la libertad. Es que,  ratifica – “estoy persuadido del espiritualismo. El materialismo me repugna. Existe la vida y la vida es espiritual y conciente; es libre el hombre.” </w:t>
      </w:r>
      <w:r>
        <w:rPr>
          <w:rStyle w:val="Refdenotaalpie"/>
          <w:lang w:val="es-MX"/>
        </w:rPr>
        <w:footnoteReference w:id="9"/>
      </w:r>
      <w:r>
        <w:rPr>
          <w:lang w:val="es-MX"/>
        </w:rPr>
        <w:t xml:space="preserve"> En curiosa contemporaneidad,   Korn y Ayala piden y exhortan superar, lo que el argentino llamara “la cuaresma positivista.” Es que ni la vida “ni  la filosofía son una ciencia exacta ni han de revestir nunca una forma definitiva.” </w:t>
      </w:r>
      <w:r>
        <w:rPr>
          <w:rStyle w:val="Refdenotaalpie"/>
          <w:lang w:val="es-MX"/>
        </w:rPr>
        <w:footnoteReference w:id="10"/>
      </w:r>
    </w:p>
    <w:p w:rsidR="00CA767A" w:rsidRDefault="00CA767A" w:rsidP="00CA767A">
      <w:pPr>
        <w:spacing w:before="100" w:beforeAutospacing="1" w:after="100" w:afterAutospacing="1"/>
        <w:ind w:firstLine="720"/>
        <w:rPr>
          <w:lang w:val="es-MX"/>
        </w:rPr>
      </w:pPr>
      <w:r>
        <w:rPr>
          <w:lang w:val="es-MX"/>
        </w:rPr>
        <w:t xml:space="preserve">2. Alejando Korn fue un filósofo argentino, y latinoamericano cuya propuesta, como parte de la generación de los llamados fundadores de la filosofía latinoamericana, pedía un retorno a las fuentes del humanismo y a la metafísica. Nacido hacia 1860 en la provincia de Buenos Aires,  Korn falleció en 1936 dejando un legado  crítico desde donde replantear el problema político y cultural.  Pertenece a la generación del “espíritu,” que recoge el guante de la propuesta alberdiana. Pertenece al tiempo de los uruguayos  José Enrique Rodó y Carlos Vaz Ferreira, al del chileno Enrique Molina y al del renombrado peruano Alejandro Deusta como también la del  cósmico mexicano José Vasconcelos, grupo que no deseaba una mera adaptación a lo europeo sino la emancipación de la cultura latinoamericana, afirmando la libertad, reclamando de esa continuidad con el ideal republicano inicial, abandonado por el formalismo positivista. El caso de Korn es digno de mencionar por dos motivos. El primero de ellos es la pretensión de que un fundamento de un sistema político esta mas allá de filosofías históricamente condicionadas por el poder de turno. La libertad no tiene fronteras y no está al servicio  del poder.  Si la filosofía es expresión acabada del espíritu humano, </w:t>
      </w:r>
      <w:r>
        <w:rPr>
          <w:lang w:val="es-MX"/>
        </w:rPr>
        <w:lastRenderedPageBreak/>
        <w:t xml:space="preserve">entonces, - se preguntaba Korn, - ¿puede la verdad filosófica ser distinta de un pueblo a otro? </w:t>
      </w:r>
      <w:r>
        <w:rPr>
          <w:rStyle w:val="Refdenotaalpie"/>
          <w:lang w:val="es-MX"/>
        </w:rPr>
        <w:footnoteReference w:id="11"/>
      </w:r>
      <w:r>
        <w:rPr>
          <w:lang w:val="es-MX"/>
        </w:rPr>
        <w:t xml:space="preserve"> Lo auténticamente americano, para Korn, significaba un ir mas allá,   traspasar lo ideológico, haciendo remontar o redescubrir el principio de la libertad y la persona.</w:t>
      </w:r>
    </w:p>
    <w:p w:rsidR="00CA767A" w:rsidRDefault="00CA767A" w:rsidP="00CA767A">
      <w:pPr>
        <w:spacing w:before="100" w:beforeAutospacing="1" w:after="100" w:afterAutospacing="1"/>
        <w:ind w:firstLine="720"/>
        <w:rPr>
          <w:lang w:val="es-MX"/>
        </w:rPr>
      </w:pPr>
      <w:r>
        <w:rPr>
          <w:lang w:val="es-MX"/>
        </w:rPr>
        <w:t xml:space="preserve">3. El segundo motivo refiere al sentido de autoconciencia histórica que  debe impulsar  ese deseo de volver a las fuentes, yendo más allá de lo dado. Se debe nacer de nuevo, la resurrección del pensamiento y la verificación experiencias del mismo es necesaria. Y esa es  función  vital de la filosofía, Últimamente sin embargo, se lamentaba ya entonces  Korn,  la filosofía ha devenido en mero artilugio “de cátedra,” ausente de la realidad de la vida, convirtiéndose en ideología o,  parafraseando a Leopoldo Zea,  puro “juego malabar.” </w:t>
      </w:r>
      <w:r>
        <w:rPr>
          <w:rStyle w:val="Refdenotaalpie"/>
          <w:lang w:val="es-MX"/>
        </w:rPr>
        <w:footnoteReference w:id="12"/>
      </w:r>
      <w:r>
        <w:rPr>
          <w:lang w:val="es-MX"/>
        </w:rPr>
        <w:t xml:space="preserve">  </w:t>
      </w:r>
      <w:r>
        <w:rPr>
          <w:lang w:val="es-PY"/>
        </w:rPr>
        <w:t xml:space="preserve">Korn </w:t>
      </w:r>
      <w:r>
        <w:rPr>
          <w:lang w:val="es-MX"/>
        </w:rPr>
        <w:t xml:space="preserve">no era ni ingenuo ni utópico. Mucho menos era un nacionalista rabioso,  sino su deseo era partir de experiencia de la libertad en América Latina a la universalidad para fundar una nueva filosofía y sociedad. </w:t>
      </w:r>
      <w:r>
        <w:rPr>
          <w:rStyle w:val="Refdenotaalpie"/>
          <w:lang w:val="es-MX"/>
        </w:rPr>
        <w:footnoteReference w:id="13"/>
      </w:r>
      <w:r>
        <w:rPr>
          <w:lang w:val="es-MX"/>
        </w:rPr>
        <w:t xml:space="preserve">   Cotejar esta narrativa con la propuesta cultural de Eligio Ayala es, en este contexto, provocador, sugerente. Eligio  nos ayuda también en el caminar hacia el fundamento y la superación de los prejuicios históricos que esa propuesta significó. Nacido en 1870 en Mbuyapey, Ayala pertenece a una generación de intelectuales que comienzan a tener protagonismo hacia 1911 – el primer centenario de la Independencia del Paraguay - junto con Juan E, O’Leary, Alejandro Guanes, Arsenio López Decoud, y Eusebio Ayala. Fallecido en trágicas circunstancias – prematuramente – en  1930, su figura marca casi desde el  inicio, una advertencia hacia  la oleada de populismos que se avecinaban en el continente.  </w:t>
      </w:r>
    </w:p>
    <w:p w:rsidR="00CA767A" w:rsidRDefault="00CA767A" w:rsidP="00CA767A">
      <w:pPr>
        <w:spacing w:before="100" w:beforeAutospacing="1" w:after="100" w:afterAutospacing="1"/>
        <w:ind w:firstLine="720"/>
        <w:rPr>
          <w:lang w:val="es-MX"/>
        </w:rPr>
      </w:pPr>
      <w:r>
        <w:rPr>
          <w:lang w:val="es-MX"/>
        </w:rPr>
        <w:t xml:space="preserve">4. Pero Ayala no era filósofo como Korn sino algo más: un poco poeta, intelectual, literato, economista, político, estadista o lo que se llega a denominar, un pensador, categoría  a menudo  detestada por filósofos profesionales  y ni qué decir por ciertos cientistas sociales. Junto a otros pensadores como Manuel Ugarte, Víctor Raúl Haya de la Torre o Alceu Amoroso Lima, entre los años 1920 y 1930, Ayala combinará lo teórico y lo práctico. Al igual que Korn,  dos motivos sugieren el pensamiento de Ayala para  entender  ese nuevo camino hacia una nueva república, más allá de los límites positivistas. El primer motivo era la pretensión de que un auténtico fundamento de la realidad  rebasa el simple dato empírico, cuantitativo. La ciencia, nos dice Ayala, “no puede </w:t>
      </w:r>
      <w:r>
        <w:rPr>
          <w:lang w:val="es-MX"/>
        </w:rPr>
        <w:lastRenderedPageBreak/>
        <w:t>constatar mas que las condiciones materiales de vida.  Pero estas condiciones no son la vida misma.”</w:t>
      </w:r>
      <w:r>
        <w:rPr>
          <w:rStyle w:val="Refdenotaalpie"/>
          <w:lang w:val="es-MX"/>
        </w:rPr>
        <w:footnoteReference w:id="14"/>
      </w:r>
      <w:r>
        <w:rPr>
          <w:lang w:val="es-MX"/>
        </w:rPr>
        <w:t xml:space="preserve"> Así, el  “afirmar la inexistencia de lo que se ignora, es un nocivo dogmatismo, una pésima metafísica.” </w:t>
      </w:r>
      <w:r>
        <w:rPr>
          <w:rStyle w:val="Refdenotaalpie"/>
          <w:lang w:val="es-MX"/>
        </w:rPr>
        <w:footnoteReference w:id="15"/>
      </w:r>
      <w:r>
        <w:rPr>
          <w:lang w:val="es-MX"/>
        </w:rPr>
        <w:t xml:space="preserve"> Por lo tanto, el ser humano y su “mundo no se reduce a la miserable parte que conocemos de el.”</w:t>
      </w:r>
      <w:r>
        <w:rPr>
          <w:rStyle w:val="Refdenotaalpie"/>
          <w:lang w:val="es-MX"/>
        </w:rPr>
        <w:footnoteReference w:id="16"/>
      </w:r>
      <w:r>
        <w:rPr>
          <w:lang w:val="es-MX"/>
        </w:rPr>
        <w:t xml:space="preserve"> Ayala no seguía al magisterio de su correligionario Cecilio Báez, casi hegemónico en aquel tiempo. El político de Mbuyapey era  crítico de todo historicismo sin principios, pues la verdad de los mismos bandea los límites de pueblos. Lo auténticamente humano, lo propio del individuo era recuperar  la dignidad del yo y de la persona. La perspectiva de Eligio, como la de Korn, se acercará al  puro vitalismo bergsoniano.  </w:t>
      </w:r>
    </w:p>
    <w:p w:rsidR="00CA767A" w:rsidRDefault="00CA767A" w:rsidP="00CA767A">
      <w:pPr>
        <w:spacing w:before="100" w:beforeAutospacing="1" w:after="100" w:afterAutospacing="1"/>
        <w:ind w:firstLine="720"/>
        <w:rPr>
          <w:lang w:val="es-MX"/>
        </w:rPr>
      </w:pPr>
      <w:r>
        <w:rPr>
          <w:lang w:val="es-MX"/>
        </w:rPr>
        <w:t xml:space="preserve">5. Ayala  se encontraba así con Korn en una experiencia histórica común; la de ir hacia un más allá de lo ideológico-positivista, para redescubrir los principios de la realidad misma. O como dirá Korn gráficamente, si queremos un pensamiento auténtico, que refleje la realidad se debe superar la “cuaresma positivista.”  Ese es el segundo motivo de su trascendencia. </w:t>
      </w:r>
      <w:r>
        <w:rPr>
          <w:lang w:val="es-PY"/>
        </w:rPr>
        <w:t xml:space="preserve">El intuir por donde va un pueblo y sobre todo por dónde debe ir,  no puede ser deducido de leyes generales de la ciencia. Eligio entendía esto como creyente en la libertad, deseando verificar existencialmente esta realidad: la de un ser humano como  ser con fe en una libertad irrevocable y donde la “simplicidad,  la fortaleza a la adversidad, el sufrimiento largo y silencioso bajo severas apariencias” – escribía -  habían constituido,  “las raíces de la grandeza paraguaya, que para redención y florecimiento de la patria, no se debe dejar de secar.” </w:t>
      </w:r>
      <w:r>
        <w:rPr>
          <w:rStyle w:val="Refdenotaalpie"/>
          <w:lang w:val="es-PY"/>
        </w:rPr>
        <w:footnoteReference w:id="17"/>
      </w:r>
      <w:r>
        <w:rPr>
          <w:lang w:val="es-MX"/>
        </w:rPr>
        <w:t xml:space="preserve">  Si la historia es, parafraseando a T.S. Eliot, un aquí y un ahora entonces, la intuición de Ayala fue profética. Echando una mirada retrospectiva a los comienzos de nuestra república, ¿no sería este el tiempo para hacernos la misma pregunta, que motivó a don Eligio y a don Alejandro? A mas de veinte años del inicio de la gestación democrática y a doscientos del inicio de nuestra república, este sería un tiempo privilegiado para proponer ir hacia un mas allá, </w:t>
      </w:r>
      <w:r>
        <w:rPr>
          <w:bCs/>
          <w:lang w:val="es-MX"/>
        </w:rPr>
        <w:t>de las lecturas ideológica, e intentar repensar sobre algunos puntos de una propuesta republicana.</w:t>
      </w:r>
    </w:p>
    <w:p w:rsidR="00CA767A" w:rsidRDefault="00CA767A" w:rsidP="00CA767A">
      <w:pPr>
        <w:spacing w:before="100" w:beforeAutospacing="1" w:after="100" w:afterAutospacing="1"/>
        <w:ind w:hanging="180"/>
        <w:rPr>
          <w:lang w:val="es-MX"/>
        </w:rPr>
      </w:pPr>
      <w:r>
        <w:rPr>
          <w:lang w:val="es-MX"/>
        </w:rPr>
        <w:t xml:space="preserve">c. </w:t>
      </w:r>
      <w:r>
        <w:rPr>
          <w:u w:val="single"/>
          <w:lang w:val="es-MX"/>
        </w:rPr>
        <w:t>Crisis fundacional o el dilema de los proyectos</w:t>
      </w:r>
    </w:p>
    <w:p w:rsidR="00CA767A" w:rsidRDefault="00CA767A" w:rsidP="00CA767A">
      <w:pPr>
        <w:spacing w:before="100" w:beforeAutospacing="1" w:after="100" w:afterAutospacing="1"/>
        <w:ind w:firstLine="720"/>
        <w:rPr>
          <w:lang w:val="es-MX"/>
        </w:rPr>
      </w:pPr>
      <w:r>
        <w:rPr>
          <w:lang w:val="es-MX"/>
        </w:rPr>
        <w:t xml:space="preserve">1. En este contexto cultural, nuestra historia, en estricta fidelidad con  las lecturas de Korn y Ayala,  seria hecha de un crecimiento paulatino; la de que una marcha de la libertad y de una cultura no nace necesariamente de un fondo racional. Estaría más allá de lo cuantificable, lo que no </w:t>
      </w:r>
      <w:r>
        <w:rPr>
          <w:lang w:val="es-MX"/>
        </w:rPr>
        <w:lastRenderedPageBreak/>
        <w:t xml:space="preserve">supone, de suyo, una realidad generada exclusivamente de afectos y emociones. Implicaría, como la realidad misma, los afectos y la racionalidad. Los gestos  fundacionales, entonces, rebasan lo empírico. La formación de la conciencia nacional y del destino común exige algo más. </w:t>
      </w:r>
      <w:r>
        <w:rPr>
          <w:lang w:val="es-PY"/>
        </w:rPr>
        <w:t>El proceso de conciencia histórica ayudaría a ese crecimiento donde las gestas de un pueblo constituirían la apertura hacia ese horizonte nuevo.</w:t>
      </w:r>
      <w:r>
        <w:rPr>
          <w:rStyle w:val="Refdenotaalfinal"/>
          <w:lang w:val="es-PY"/>
        </w:rPr>
        <w:endnoteReference w:id="1"/>
      </w:r>
      <w:r>
        <w:rPr>
          <w:lang w:val="es-MX"/>
        </w:rPr>
        <w:t xml:space="preserve"> La pertenencia a una nación se forja de manera lenta y fatigosa. Es histórica pero no cristalizada, en el sentido de lograrse de una vez para siempre. Su historicidad se va renovando a través de cada generación. Es, además,  un ritual, pues requiere formas propias, que indicarían que ella misma, la nación, se hace a través de signos y símbolos,  indicando los mismos, casi siempre,   una realidad mas allá de sí misma.</w:t>
      </w:r>
    </w:p>
    <w:p w:rsidR="00CA767A" w:rsidRDefault="00CA767A" w:rsidP="00CA767A">
      <w:pPr>
        <w:spacing w:before="100" w:beforeAutospacing="1" w:after="100" w:afterAutospacing="1"/>
        <w:ind w:firstLine="720"/>
        <w:rPr>
          <w:lang w:val="es-PY"/>
        </w:rPr>
      </w:pPr>
      <w:r>
        <w:rPr>
          <w:lang w:val="es-PY"/>
        </w:rPr>
        <w:t xml:space="preserve">2. El proyecto histórico latinoamericano conlleva, dentro de este proceso de libertad, gestos y símbolos significativos. La nación paraguaya cobra conciencia de sí y lo manifiesta con hechos el 15 de mayo de 1811. El pueblo asume su voluntad histórica de autogobierno. La identidad original y la voluntad emancipadora se traducían en un querer explicito de ser provincia autónoma y soberana por la nota del 20 de Julio. El Paraguay se integraba a la miríada de nuevas repúblicas pero conservaba  su originalidad como nueva república. El nuevo estado irrumpe en la vida del pueblo  dando forma de ser a una nación.  El querer de ese pueblo afirmaba el deseo de igualdad, la aspiración a la autonomía, la meta del autogobierno,  recibiendo  el espolique inicial en el liderazgo de los próceres. Las sucesivas crisis  políticas y el frágil equilibrio de poderes emergentes en el sur del continente, sin embargo, impiden el éxito del confederacionismo activando el instinto político  de preservación, creando, desde la crisis, un modelo autárquico de estado-nación  Los acontecimientos clamaban,  fatalmente, un pacto social y político como forma de afianzamiento de tal soberanía.  La conciencia nacional acaece entonces moldeada  por un poder fuerte, unipersonal, dictatorial y perpetuo. O dicho con “espíritu” francista: la república, la real, el autogobierno de los ciudadanos, debía dormir mientras Marte velaba.  La república, la real, se ponía entre paréntesis para salvarla.  El dictador, el supremo,  se tornaba providente, insustituible, irremplazable, un ser “con calidad de ser sin ejemplar.” </w:t>
      </w:r>
      <w:r>
        <w:rPr>
          <w:rStyle w:val="Refdenotaalpie"/>
          <w:lang w:val="es-PY"/>
        </w:rPr>
        <w:footnoteReference w:id="18"/>
      </w:r>
      <w:r>
        <w:rPr>
          <w:lang w:val="es-PY"/>
        </w:rPr>
        <w:t xml:space="preserve"> . </w:t>
      </w:r>
    </w:p>
    <w:p w:rsidR="00CA767A" w:rsidRDefault="00CA767A" w:rsidP="00CA767A">
      <w:pPr>
        <w:spacing w:before="100" w:beforeAutospacing="1" w:after="100" w:afterAutospacing="1"/>
        <w:ind w:firstLine="720"/>
        <w:rPr>
          <w:lang w:val="es-ES"/>
        </w:rPr>
      </w:pPr>
      <w:r>
        <w:rPr>
          <w:lang w:val="es-PY"/>
        </w:rPr>
        <w:t xml:space="preserve">3.  Se comienza a configurar entonces una forma paternalista-autoritaria de confrontar la construcción  social y sobre todo,  de conservación,  de la nueva república, como alternativa a otro proyecto más abierto, y tal vez,  menos cauteloso. </w:t>
      </w:r>
      <w:r>
        <w:rPr>
          <w:lang w:val="es-ES"/>
        </w:rPr>
        <w:t>¿Qué estaba pasando? Que la</w:t>
      </w:r>
      <w:r>
        <w:rPr>
          <w:lang w:val="es-MX"/>
        </w:rPr>
        <w:t xml:space="preserve"> crisis de nacimiento </w:t>
      </w:r>
      <w:r>
        <w:rPr>
          <w:lang w:val="es-MX"/>
        </w:rPr>
        <w:lastRenderedPageBreak/>
        <w:t xml:space="preserve">republicano había desatado la necesidad de una identidad de la revolución, la de encontrar, en ese barullo de acontecimientos su ser propio. Lo que no era muy obvio, pues </w:t>
      </w:r>
      <w:r>
        <w:rPr>
          <w:lang w:val="es-PY"/>
        </w:rPr>
        <w:t xml:space="preserve">había muchas revoluciones, no una sola revolución; muchos actores y no uno solo, colisión de ideas, no la hegemonía de una sola. Pero urgía el deseo de un proyecto  que sirviera de soporte </w:t>
      </w:r>
      <w:r>
        <w:rPr>
          <w:lang w:val="es-ES"/>
        </w:rPr>
        <w:t xml:space="preserve">al drástico cambio político que estaba llevándose a cabo. </w:t>
      </w:r>
      <w:r>
        <w:rPr>
          <w:lang w:val="es-PY"/>
        </w:rPr>
        <w:t xml:space="preserve">Dos tendencias irreconciliables se van modelando en esta trama, incompatibilidad que se convertirá más tarde, en una larga crisis que, de una manera u otra, va a envolver a las repúblicas nacientes. Eso </w:t>
      </w:r>
      <w:r>
        <w:rPr>
          <w:lang w:val="es-MX"/>
        </w:rPr>
        <w:t>se desprende, por ejemplo, del drástico juicio del chileno don Francisco Bilbao: “o la monarquía y la teocracia se enseñorean de la América, o el republicanismo triunfa, enseñoreando en la conciencia de todo hombre la razón libre y la religión de la ley” […]”’ ¡monarquía feudal o república liberal!”</w:t>
      </w:r>
      <w:r>
        <w:rPr>
          <w:rStyle w:val="Refdenotaalpie"/>
          <w:lang w:val="es-MX"/>
        </w:rPr>
        <w:footnoteReference w:id="19"/>
      </w:r>
      <w:r>
        <w:rPr>
          <w:lang w:val="es-MX"/>
        </w:rPr>
        <w:t xml:space="preserve"> Toda síntesis, sonaba entonces, a una contradicción lógica; un despropósito político. Lo cierto es que, </w:t>
      </w:r>
      <w:r>
        <w:rPr>
          <w:lang w:val="es-ES"/>
        </w:rPr>
        <w:t xml:space="preserve">de esa </w:t>
      </w:r>
      <w:r>
        <w:rPr>
          <w:lang w:val="es-MX"/>
        </w:rPr>
        <w:t xml:space="preserve">esquizofrenia original,   herida de fondo – emergerán  dos modelos paralelos, alternativos y en pugna y abiertamente hostiles entre si. </w:t>
      </w:r>
    </w:p>
    <w:p w:rsidR="00CA767A" w:rsidRDefault="00CA767A" w:rsidP="00CA767A">
      <w:pPr>
        <w:ind w:firstLine="720"/>
        <w:rPr>
          <w:lang w:val="es-PY"/>
        </w:rPr>
      </w:pPr>
      <w:r>
        <w:rPr>
          <w:lang w:val="es-PY"/>
        </w:rPr>
        <w:t xml:space="preserve">4. Por un lado, se configuraba un </w:t>
      </w:r>
      <w:r>
        <w:rPr>
          <w:lang w:val="es-MX"/>
        </w:rPr>
        <w:t xml:space="preserve"> proyecto nacional de autogobierno cuya instauración  no pasaba necesariamente por un llamado sincero a  decretos o leyes, vista como meras formalidades constitucionales. Este proyecto veía, por el contrario, en el </w:t>
      </w:r>
      <w:r>
        <w:rPr>
          <w:lang w:val="es-PY"/>
        </w:rPr>
        <w:t xml:space="preserve">ejercicio irrestricto del poder, el medio fundacional. Era el modelo autoritario contra los remanentes de los vicios heredados de la Corona. Es la tradición liberal y nacionalista de un Rodríguez de Francia contra aquello que el Mexicano José Luis Mora habría dado en llamar,  el “espíritu de cuerpo’ del realismo español.  Pero no solo el huraño misógino Francia, Doctor en Teología de la Universidad de Córdoba apostaba por este paternalismo. También habrá otros parecidos; Rosas, en Argentina, Santa Ana en México, García Moreno, Ecuador o Diego Portales en Chile idearan proyectos similares. </w:t>
      </w:r>
      <w:r>
        <w:rPr>
          <w:lang w:val="es-MX"/>
        </w:rPr>
        <w:t xml:space="preserve">Los matices variarán de república en república, de región en región, como los rápidos súbitos en el río de nuestra historia, pero por motivos casi idénticos: </w:t>
      </w:r>
      <w:r>
        <w:rPr>
          <w:lang w:val="es-PY"/>
        </w:rPr>
        <w:t xml:space="preserve">la pretendida defensa de lo público contra el interés de grupos, de los fueros, de los privilegios regios, aquello que amenazaba, se decía,  el espíritu nacional republicano. </w:t>
      </w:r>
      <w:r>
        <w:rPr>
          <w:rStyle w:val="Refdenotaalpie"/>
          <w:lang w:val="es-PY"/>
        </w:rPr>
        <w:footnoteReference w:id="20"/>
      </w:r>
      <w:r>
        <w:rPr>
          <w:lang w:val="es-PY"/>
        </w:rPr>
        <w:t xml:space="preserve"> El  poder centralista debía, se creía, fundar  el Estado y recrear a la nación, afirmándola. La independencia exigía así un momentáneo  enclaustramiento. Era la venganza de la monarquía cubierta ahora con vestimenta  jacobina republicana, con reminiscencias romanas, ante </w:t>
      </w:r>
      <w:r>
        <w:rPr>
          <w:lang w:val="es-PY"/>
        </w:rPr>
        <w:lastRenderedPageBreak/>
        <w:t xml:space="preserve">las promesas republicanas más libertarias extranjeras, que parecían traer sólo fragmentación, rivalidad y desorden. </w:t>
      </w:r>
    </w:p>
    <w:p w:rsidR="00CA767A" w:rsidRDefault="00CA767A" w:rsidP="00CA767A">
      <w:pPr>
        <w:ind w:firstLine="720"/>
        <w:rPr>
          <w:lang w:val="es-PY"/>
        </w:rPr>
      </w:pPr>
    </w:p>
    <w:p w:rsidR="00CA767A" w:rsidRDefault="00CA767A" w:rsidP="00CA767A">
      <w:pPr>
        <w:ind w:firstLine="720"/>
        <w:rPr>
          <w:lang w:val="es-PY"/>
        </w:rPr>
      </w:pPr>
      <w:r>
        <w:rPr>
          <w:lang w:val="es-PY"/>
        </w:rPr>
        <w:t xml:space="preserve">5. Este </w:t>
      </w:r>
      <w:r>
        <w:rPr>
          <w:lang w:val="es-MX"/>
        </w:rPr>
        <w:t>paternalismo enfatizará, no obstante y en no pocos casos,  el ethos cultural, pero minimizando,  en vista al momento crítico, las  instituciones</w:t>
      </w:r>
      <w:r>
        <w:rPr>
          <w:lang w:val="es-PY"/>
        </w:rPr>
        <w:t xml:space="preserve">. </w:t>
      </w:r>
      <w:r>
        <w:rPr>
          <w:lang w:val="es-MX"/>
        </w:rPr>
        <w:t xml:space="preserve">Sean unitarios, o pelucones o bien centralistas, o nacionalistas o incluso los llamados serviles,  este proyecto impulsará caudillos o </w:t>
      </w:r>
      <w:r>
        <w:rPr>
          <w:lang w:val="es-PY"/>
        </w:rPr>
        <w:t xml:space="preserve">dictadores inorgánicos, clericales o no, que gobernaran en nombre del pueblo y de su bien y libertad con “espíritu español”: </w:t>
      </w:r>
      <w:r>
        <w:rPr>
          <w:lang w:val="es-MX"/>
        </w:rPr>
        <w:t xml:space="preserve">de ahí el rechazo a la modernidad y al iluminismo acusados de proponer un cambio cosmético, meramente formal- institucional y sobre todo ajeno a la tradición originaria. </w:t>
      </w:r>
      <w:r>
        <w:rPr>
          <w:lang w:val="es-PY"/>
        </w:rPr>
        <w:t xml:space="preserve"> </w:t>
      </w:r>
      <w:r>
        <w:rPr>
          <w:lang w:val="es-MX"/>
        </w:rPr>
        <w:t>Contra esto último se constituyó  el segundo proyecto</w:t>
      </w:r>
      <w:r>
        <w:rPr>
          <w:lang w:val="es-PY"/>
        </w:rPr>
        <w:t xml:space="preserve">: el denominado civilizador (Zea)  o institucionalista  y que negaría la tradición anterior, sea hispana, e indígena. Así los federales y pipiolos, los legionarios o fiebres, serán en gran medida hostiles  al pasado colonial: solo la ruptura cultural y política podía </w:t>
      </w:r>
      <w:r>
        <w:rPr>
          <w:lang w:val="es-MX"/>
        </w:rPr>
        <w:t xml:space="preserve">iniciar la independencia. El futuro será lo único autentico, no  las raíces. Se debían derribar a los viejos ídolos, combatir las viejas costumbres para  dar luz a lo nuevo, al progreso. “Arrancad a los </w:t>
      </w:r>
      <w:r>
        <w:rPr>
          <w:lang w:val="es-PY"/>
        </w:rPr>
        <w:t xml:space="preserve">hispanoamericanos de toda la herencia española pues en ella radican todos los males” – se proclamaba.  Es que  la enfermedad del atraso – agregaría Domingo Faustino Sarmiento - la traemos en la sangre.  Por lo que seria preferible – siguiendo el consejo pre-matrimonial de Alberdi- que nuestra propia hija se casase con un zapatero francés que con  un gaucho argentino y así, solo la migración externa podría ayudarnos a acelerar la marcha del progreso, </w:t>
      </w:r>
    </w:p>
    <w:p w:rsidR="00CA767A" w:rsidRDefault="00CA767A" w:rsidP="00CA767A">
      <w:pPr>
        <w:ind w:firstLine="720"/>
        <w:rPr>
          <w:lang w:val="es-PY"/>
        </w:rPr>
      </w:pPr>
    </w:p>
    <w:p w:rsidR="00CA767A" w:rsidRDefault="00CA767A" w:rsidP="00CA767A">
      <w:pPr>
        <w:ind w:firstLine="720"/>
        <w:rPr>
          <w:lang w:val="es-MX"/>
        </w:rPr>
      </w:pPr>
      <w:r>
        <w:rPr>
          <w:lang w:val="es-MX"/>
        </w:rPr>
        <w:t xml:space="preserve">6. La pretensión del proyecto civilizador parecerá no tener grises: la independencia trajo la ruptura política, no la mental. De lo que se trata, entonces, y sobre todo, es  lograr la emancipación del colonialismo mental. Así el poder creador de un estado-nación debe eliminar la memoria anterior. La realidad social  brotaría entonces,  de ese poder político fundante. Las crisis políticas o de identidad  radicarían entonces en la crisis fundacional de las instituciones y el Estado; la solución a  las mismas exigía una terapia exclusivamente política; lo cultural se dejaría de lado como estorbo institucional. </w:t>
      </w:r>
    </w:p>
    <w:p w:rsidR="00CA767A" w:rsidRDefault="00CA767A" w:rsidP="00CA767A">
      <w:pPr>
        <w:rPr>
          <w:lang w:val="es-PY"/>
        </w:rPr>
      </w:pPr>
    </w:p>
    <w:p w:rsidR="00CA767A" w:rsidRDefault="00CA767A" w:rsidP="00CA767A">
      <w:pPr>
        <w:spacing w:before="100" w:beforeAutospacing="1" w:after="100" w:afterAutospacing="1"/>
        <w:ind w:hanging="180"/>
        <w:rPr>
          <w:lang w:val="es-MX"/>
        </w:rPr>
      </w:pPr>
      <w:r>
        <w:rPr>
          <w:lang w:val="es-MX"/>
        </w:rPr>
        <w:t xml:space="preserve">d. </w:t>
      </w:r>
      <w:r>
        <w:rPr>
          <w:u w:val="single"/>
          <w:lang w:val="es-MX"/>
        </w:rPr>
        <w:t xml:space="preserve">Hacia un reencuentro de lo republicano: la alegría de la resurrección, </w:t>
      </w:r>
    </w:p>
    <w:p w:rsidR="00CA767A" w:rsidRDefault="00CA767A" w:rsidP="00CA767A">
      <w:pPr>
        <w:spacing w:before="100" w:beforeAutospacing="1" w:after="100" w:afterAutospacing="1"/>
        <w:ind w:firstLine="720"/>
        <w:rPr>
          <w:lang w:val="es-PY"/>
        </w:rPr>
      </w:pPr>
      <w:r>
        <w:rPr>
          <w:lang w:val="es-MX"/>
        </w:rPr>
        <w:lastRenderedPageBreak/>
        <w:t xml:space="preserve">1. Pero esa esquizofrenia exigía una cura, algún proyecto que, en la mencionada intención de Alberdi, nos legara una forma política auténticamente latinoamericana. Pero, </w:t>
      </w:r>
      <w:r>
        <w:rPr>
          <w:lang w:val="es-PY"/>
        </w:rPr>
        <w:t xml:space="preserve">¿cuál camino elegir?  ¿O un retorno a las formas del pasado y al viejo barroco o bien, apuntando hacia lo moderno, la ruta del progreso científico,  como signo del siglo XIX?   Y dicha cura, exige una propuesta, la intuida por  Korn y entrevista y compartida por Ayala: la de superar la parcialidad y confrontación de lecturas excluyentes sobre nuestro pasado y, hoy, sobre nuestra realidad. La superación de esa crisis de origen es necesaria para reencontrarnos con un republicanismo incluyente, plural y democrático. Una auto-gobierno auténtico </w:t>
      </w:r>
      <w:r>
        <w:rPr>
          <w:lang w:val="es-ES"/>
        </w:rPr>
        <w:t>es  repensar desde la experiencia de nuestro corazón, poner sobre el tapete toda la amplitud de nuestras necesidades. Y dialogar con otras experiencias para posibilitar la realización del bien común.</w:t>
      </w:r>
      <w:r>
        <w:rPr>
          <w:lang w:val="es-PY"/>
        </w:rPr>
        <w:t xml:space="preserve"> En la convergencia de ambos proyectos que tienen, no se puede negar, contradicciones, se vislumbra un principio. Pero ese será un comienzo pues la síntesis requiere una propuesta orgánica  y no meramente ecléctica, sincrética, ideológica. No se debe dejar de lado a la modernidad como tampoco al pasado hispano-indígena y mestizo sino asumir ambos con espíritu de misión, para re-construir un republicanismo vigoroso en consonancia con la naturaleza, la política y el sentido religioso del pueblo. El ser humano es, después de todo, reiterando la memoria de Adriano Irala Burgos, la alegría del Domingo de Resurrección; un tiempo que viene luego del Viernes Santo. Y viene como plenitud, como  haz de posibilidades que, para el ser humano, implica no ser reducido a esquemas anticipados.</w:t>
      </w:r>
      <w:r>
        <w:rPr>
          <w:lang w:val="es-MX"/>
        </w:rPr>
        <w:t xml:space="preserve"> La identidad se hincaría así  en una simbiosis de la cultura barroco-hispánica con el mundo de las instituciones liberales. Lo esencial es el mestizaje institucional-espiritual que ha sido conferido, la dignidad de hijos de Dios.</w:t>
      </w:r>
      <w:r>
        <w:rPr>
          <w:lang w:val="es-PY"/>
        </w:rPr>
        <w:t xml:space="preserve"> </w:t>
      </w:r>
    </w:p>
    <w:p w:rsidR="00CA767A" w:rsidRDefault="00CA767A" w:rsidP="00CA767A">
      <w:pPr>
        <w:spacing w:before="100" w:beforeAutospacing="1" w:after="100" w:afterAutospacing="1"/>
        <w:ind w:firstLine="720"/>
        <w:rPr>
          <w:lang w:val="es-MX"/>
        </w:rPr>
      </w:pPr>
      <w:r>
        <w:rPr>
          <w:lang w:val="es-PY"/>
        </w:rPr>
        <w:t>2. Es el bicentenario; la tarea es  asumir esa memoria y repensar desde una propuesta republicana. Si hablamos de una refundación, nos  obliga a ver que habitamos  una sociedad</w:t>
      </w:r>
      <w:r>
        <w:rPr>
          <w:color w:val="0000FF"/>
          <w:lang w:val="es-PY"/>
        </w:rPr>
        <w:t xml:space="preserve"> </w:t>
      </w:r>
      <w:r>
        <w:rPr>
          <w:lang w:val="es-PY"/>
        </w:rPr>
        <w:t>relacional</w:t>
      </w:r>
      <w:r>
        <w:rPr>
          <w:color w:val="0000FF"/>
          <w:lang w:val="es-PY"/>
        </w:rPr>
        <w:t>:</w:t>
      </w:r>
      <w:r>
        <w:rPr>
          <w:lang w:val="es-PY"/>
        </w:rPr>
        <w:t xml:space="preserve"> los individuos las realizan. Las mediaciones no son meras exhortaciones románticas, Mediación indica la forma elegida para que la persona  logre su plenitud en la historia. ¿Cuales serian esas mediaciones para el republicanismo?</w:t>
      </w:r>
      <w:r>
        <w:rPr>
          <w:lang w:val="es-MX"/>
        </w:rPr>
        <w:t xml:space="preserve"> Hay muchas y varios son los matices pero propondría, como inicio tres de ellas. El primer lugar, el partir de la realidad del pueblo real. Urge movernos hacia espacios trans-ideológicos.  </w:t>
      </w:r>
      <w:r>
        <w:rPr>
          <w:lang w:val="es-PY"/>
        </w:rPr>
        <w:t xml:space="preserve">Las personas que están manejadas por las ideologías viven totalmente inmersas en ellas y tragadas por ellas. Es que ideología, como decía Adrianito,  como sistema coherente de imágenes, signos y símbolos, valores e ideas que relaciona lo teórico con la praxis, es inevitable. O lo parece. De ahí que seria arriesgado afirmar que la ideología sea perversa en sí misma. Aunque, muchas veces – a decir verdad -, tiende a fragmentar la comunidad, haciendo </w:t>
      </w:r>
      <w:r>
        <w:rPr>
          <w:lang w:val="es-PY"/>
        </w:rPr>
        <w:lastRenderedPageBreak/>
        <w:t>difícil el considerar todos los factores de la realidad, la inclusión de la palabra de la fe, el sentido de la libertad, el rol de la filosofía, la misión liberadora del arte. La ideología casi siempre se cierra y es excluyente. Esta</w:t>
      </w:r>
      <w:r>
        <w:rPr>
          <w:lang w:val="es-MX"/>
        </w:rPr>
        <w:t xml:space="preserve"> tentación es compartida, por supuesto, por los aparatos políticos que suponen ese pensamiento ideologizado como esquema sobre la realidad para luego,  intentar que la realidad se “adecue” a su esquema previo. La hiper-ideologización actúa como  coraza para ver solo el lado de la verdad que no es, casi siempre,  la del otro. </w:t>
      </w:r>
      <w:r>
        <w:rPr>
          <w:lang w:val="es-PY"/>
        </w:rPr>
        <w:t xml:space="preserve"> La república se convierte así en mera </w:t>
      </w:r>
      <w:r>
        <w:rPr>
          <w:lang w:val="es-MX"/>
        </w:rPr>
        <w:t>sistema de aparato sin sujeto y donde, en vez de pueblo, hay masas poco informadas y acríticas, manejadas desde el poder.</w:t>
      </w:r>
    </w:p>
    <w:p w:rsidR="00CA767A" w:rsidRDefault="00CA767A" w:rsidP="00CA767A">
      <w:pPr>
        <w:spacing w:before="100" w:beforeAutospacing="1" w:after="100" w:afterAutospacing="1"/>
        <w:ind w:firstLine="720"/>
        <w:rPr>
          <w:lang w:val="es-MX"/>
        </w:rPr>
      </w:pPr>
      <w:r>
        <w:rPr>
          <w:lang w:val="es-MX"/>
        </w:rPr>
        <w:t xml:space="preserve">3. La verdadera república democrática subsiste, por el contrario, ahí donde una experiencia de libertad  y de liberación, encontrada, experimentada, deseada, puede desarrollarse. La república se encarna, no desde discursos ideológicos, sino desde la realidad misma de las cosas.  Autogobierno supone una </w:t>
      </w:r>
      <w:r>
        <w:rPr>
          <w:lang w:val="es-ES"/>
        </w:rPr>
        <w:t xml:space="preserve"> plaza pública donde no existan realidades excluidas, si tienen dignidad pública.</w:t>
      </w:r>
      <w:r>
        <w:rPr>
          <w:lang w:val="es-MX"/>
        </w:rPr>
        <w:t xml:space="preserve"> Solo esa experiencia </w:t>
      </w:r>
      <w:r>
        <w:rPr>
          <w:color w:val="FF0000"/>
          <w:lang w:val="es-MX"/>
        </w:rPr>
        <w:t xml:space="preserve"> </w:t>
      </w:r>
      <w:r>
        <w:rPr>
          <w:lang w:val="es-MX"/>
        </w:rPr>
        <w:t xml:space="preserve"> nos hace comprender que nuestra entrega no esta motivada por ningún pacto social de intereses sino por el trabajo, la solidaridad y la gratuidad humana. En una palabra, por la dignidad basada en su naturaleza de hijos de Dios, Una república que confía en aparatos ideológicos u organizativos que viven ajenos a los sujetos reales llenándose de tecnócratas  crearan una república ficticia, o como José Martí lo advertía, fingida, remedo de la autentica república. La clave de superar la cuaresma ideológica nos invita entonces a generar una postura de relación con la naturaleza y de señoría sobre los bienes ciudadanos cuya clave es la iniciativa al  trabajo y al bien común. Sacrificios y esfuerzo compartido llama a retomar el sentido de bien común. Una república, si desea a llegar a cierta madurez cívica debe, por lo mismo,  cultivar el sentido, insistimos, de bien común. </w:t>
      </w:r>
      <w:r>
        <w:rPr>
          <w:rStyle w:val="Refdenotaalpie"/>
          <w:lang w:val="es-MX"/>
        </w:rPr>
        <w:footnoteReference w:id="21"/>
      </w:r>
      <w:r>
        <w:rPr>
          <w:lang w:val="es-MX"/>
        </w:rPr>
        <w:t xml:space="preserve">No son lo mismo unas actitudes que otras sino que  una educación de la ciudadanía, de los corazones, es necesaria. </w:t>
      </w:r>
      <w:r>
        <w:rPr>
          <w:lang w:val="es-ES"/>
        </w:rPr>
        <w:t xml:space="preserve">El estado ha de tener un poder limitado. No debe tomar decisiones sustituyendo a la sociedad civil. El estado nacional no agota – como se expreso al inicio de la ponencia – el espacio social. </w:t>
      </w:r>
    </w:p>
    <w:p w:rsidR="00CA767A" w:rsidRDefault="00CA767A" w:rsidP="00CA767A">
      <w:pPr>
        <w:spacing w:before="100" w:beforeAutospacing="1" w:after="100" w:afterAutospacing="1"/>
        <w:ind w:firstLine="720"/>
        <w:rPr>
          <w:lang w:val="es-MX"/>
        </w:rPr>
      </w:pPr>
      <w:r>
        <w:rPr>
          <w:lang w:val="es-ES"/>
        </w:rPr>
        <w:t xml:space="preserve">4. </w:t>
      </w:r>
      <w:r>
        <w:rPr>
          <w:lang w:val="es-MX"/>
        </w:rPr>
        <w:t xml:space="preserve">Un segundo aspecto es reactivar la experiencia de la solidaridad. El ser humano no está solo ni se relaciona con los otros en fraternidad por meros intereses sino construye el tejido vincular generando estructuras sociales y políticas desde la familia hasta el estado. La identidad no nace solo  de la sangre o de la raza sino del mundo de los valores, del estilo de vida, la idiosincrasia del mundo </w:t>
      </w:r>
      <w:r>
        <w:rPr>
          <w:lang w:val="es-MX"/>
        </w:rPr>
        <w:lastRenderedPageBreak/>
        <w:t xml:space="preserve">en el que se nace. Lo que se ha denominado los “hábitos del corazón”. ¿Que significa esto? Que la noción del bien no debe ser una cuestión meramente privada sino que informe y de forma a lo que se ha dado en llamar una cualidad cívica </w:t>
      </w:r>
      <w:r>
        <w:rPr>
          <w:rStyle w:val="Refdenotaalpie"/>
          <w:lang w:val="es-MX"/>
        </w:rPr>
        <w:footnoteReference w:id="22"/>
      </w:r>
      <w:r>
        <w:rPr>
          <w:lang w:val="es-MX"/>
        </w:rPr>
        <w:t xml:space="preserve"> La tercera y última clave nos remite al gesto de la gratuidad. El ciudadano se abreva en los bienes superiores del espíritu y para los creyentes en relación de filialidad, de hijos de Dios, dándose a los demás. </w:t>
      </w:r>
      <w:r>
        <w:rPr>
          <w:lang w:val="es-ES"/>
        </w:rPr>
        <w:t>Las ideologías han generado una cierta  falta de confianza en las relaciones humanas y donde todo tiende a politizarse, incluso a criminalizarse. La sospecha sustituye a la cooperación, la burocracia al servicio y así, la capacidad asociativa y comunitaria, que puede aumentar realmente la eficacia del mercado, valorando y potenciando los vínculos personales se suprimen.</w:t>
      </w:r>
      <w:r>
        <w:rPr>
          <w:lang w:val="es-MX"/>
        </w:rPr>
        <w:t>Las ideologías, en un sentido amplio, parecían,  haber reemplazado a lo humano, a la realidad misma. Las ideas cobraban vuelo propio en su manejo mediático y cortoplacista, sin mucha verdad ni  sentido, meros instrume</w:t>
      </w:r>
      <w:r>
        <w:rPr>
          <w:lang w:val="es-MX"/>
        </w:rPr>
        <w:t xml:space="preserve">ntos  de acciones interesadas. </w:t>
      </w:r>
    </w:p>
    <w:p w:rsidR="00CA767A" w:rsidRDefault="00CA767A" w:rsidP="00CA767A">
      <w:pPr>
        <w:spacing w:before="100" w:beforeAutospacing="1" w:after="100" w:afterAutospacing="1"/>
        <w:ind w:hanging="180"/>
        <w:rPr>
          <w:lang w:val="es-MX"/>
        </w:rPr>
      </w:pPr>
      <w:r>
        <w:rPr>
          <w:lang w:val="es-MX"/>
        </w:rPr>
        <w:t xml:space="preserve">e. </w:t>
      </w:r>
      <w:r>
        <w:rPr>
          <w:u w:val="single"/>
          <w:lang w:val="es-MX"/>
        </w:rPr>
        <w:t>Conclusión</w:t>
      </w:r>
    </w:p>
    <w:p w:rsidR="00CA767A" w:rsidRDefault="00CA767A" w:rsidP="00CA767A">
      <w:pPr>
        <w:rPr>
          <w:lang w:val="es-MX"/>
        </w:rPr>
      </w:pPr>
      <w:r>
        <w:rPr>
          <w:lang w:val="es-PY"/>
        </w:rPr>
        <w:t>Una nación toma conciencia de sí ante todo a través de las experiencias vividas. Se debe refundar la república, más allá de la cuaresma ideológica. La historia, como autoconciencia, es vital. Nos hace intuir por donde va un pueblo o por donde va otro, no puede ser deducido de leyes generales.</w:t>
      </w:r>
      <w:r>
        <w:rPr>
          <w:rStyle w:val="Refdenotaalpie"/>
          <w:lang w:val="es-PY"/>
        </w:rPr>
        <w:footnoteReference w:id="23"/>
      </w:r>
      <w:r>
        <w:rPr>
          <w:lang w:val="es-MX"/>
        </w:rPr>
        <w:t xml:space="preserve"> Por eso no hay experiencia si el ser humano no se da cuenta de que “crece” con ella. Mas para crecer verdaderamente nuestra conciencia histórica, uno necesita algo distinto, algo objetivo, algo que “encuentra:” la urgencia de reconstruir la república. No se construye sin pasión.  Es lo que Eligio Ayala decía en 1925 en su Mensaje Presidencial cuando afirmaba que “vamos saliendo de aquel periodo caótico y estéril en que sedientos de bienestar, acaso henchidos de bellos ideales, sacrificábamos la libertad para obtener el orden […] en el Paraguay se disfruta ahora de la libertad legal y civil. El pensamiento es libre, la prensa es libre, el sufragio es libre. Nuestra tarea es hacer fructífera esa republica – al decir de Don Eligio, es “la noble tarea de fecundar la paz.” </w:t>
      </w:r>
      <w:r>
        <w:rPr>
          <w:rStyle w:val="Refdenotaalpie"/>
          <w:lang w:val="es-MX"/>
        </w:rPr>
        <w:footnoteReference w:id="24"/>
      </w:r>
      <w:r>
        <w:rPr>
          <w:lang w:val="es-MX"/>
        </w:rPr>
        <w:t xml:space="preserve">La ley no nos da ni garantiza ese deseo. Todo esto implica, no se puede negar, un reto pero no solamente formal o abstracto hacia los que hacen política, los que administran el Estado. No. El desafío es a nivel personal; el republicanismo empieza y se verifica en cada uno. Es experiencial, es existencial, </w:t>
      </w:r>
      <w:r>
        <w:rPr>
          <w:lang w:val="es-MX"/>
        </w:rPr>
        <w:lastRenderedPageBreak/>
        <w:t>es pre-político, Por eso es riesgoso y también difícil. Y lleva tiempo. Ese seria una refundación real que no reclama cambios a</w:t>
      </w:r>
    </w:p>
    <w:p w:rsidR="00CA767A" w:rsidRPr="00CA767A" w:rsidRDefault="00CA767A" w:rsidP="00CA767A">
      <w:pPr>
        <w:rPr>
          <w:lang w:val="es-MX"/>
        </w:rPr>
      </w:pPr>
      <w:r w:rsidRPr="00151C3D">
        <w:rPr>
          <w:lang w:val="es-MX"/>
        </w:rPr>
        <w:t>otros sino recobra la conciencia de que una auténtica revolución comienza por el cambio, la conversión, de uno mismo.</w:t>
      </w:r>
    </w:p>
    <w:sectPr w:rsidR="00CA767A" w:rsidRPr="00CA767A">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760" w:rsidRDefault="00F10760" w:rsidP="00CA767A">
      <w:pPr>
        <w:spacing w:line="240" w:lineRule="auto"/>
      </w:pPr>
      <w:r>
        <w:separator/>
      </w:r>
    </w:p>
  </w:endnote>
  <w:endnote w:type="continuationSeparator" w:id="0">
    <w:p w:rsidR="00F10760" w:rsidRDefault="00F10760" w:rsidP="00CA767A">
      <w:pPr>
        <w:spacing w:line="240" w:lineRule="auto"/>
      </w:pPr>
      <w:r>
        <w:continuationSeparator/>
      </w:r>
    </w:p>
  </w:endnote>
  <w:endnote w:id="1">
    <w:p w:rsidR="00CA767A" w:rsidRDefault="00CA767A" w:rsidP="00CA767A"/>
    <w:p w:rsidR="00CA767A" w:rsidRDefault="00CA767A" w:rsidP="00CA767A">
      <w:pPr>
        <w:spacing w:before="100" w:beforeAutospacing="1" w:after="100" w:afterAutospacing="1"/>
        <w:rPr>
          <w:lang w:val="es-E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760" w:rsidRDefault="00F10760" w:rsidP="00CA767A">
      <w:pPr>
        <w:spacing w:line="240" w:lineRule="auto"/>
      </w:pPr>
      <w:r>
        <w:separator/>
      </w:r>
    </w:p>
  </w:footnote>
  <w:footnote w:type="continuationSeparator" w:id="0">
    <w:p w:rsidR="00F10760" w:rsidRDefault="00F10760" w:rsidP="00CA767A">
      <w:pPr>
        <w:spacing w:line="240" w:lineRule="auto"/>
      </w:pPr>
      <w:r>
        <w:continuationSeparator/>
      </w:r>
    </w:p>
  </w:footnote>
  <w:footnote w:id="1">
    <w:p w:rsidR="00CA767A" w:rsidRDefault="00CA767A" w:rsidP="00CA767A">
      <w:pPr>
        <w:pStyle w:val="Textonotapie"/>
      </w:pPr>
      <w:r>
        <w:rPr>
          <w:rStyle w:val="Refdenotaalpie"/>
        </w:rPr>
        <w:footnoteRef/>
      </w:r>
      <w:r>
        <w:rPr>
          <w:lang w:val="es-VE"/>
        </w:rPr>
        <w:t xml:space="preserve">  Leopoldo Zea,   </w:t>
      </w:r>
      <w:r>
        <w:rPr>
          <w:u w:val="single"/>
          <w:lang w:val="es-VE"/>
        </w:rPr>
        <w:t>Filosofía de la Historia Americana,</w:t>
      </w:r>
      <w:r>
        <w:rPr>
          <w:lang w:val="es-VE"/>
        </w:rPr>
        <w:t xml:space="preserve"> Fondo de la Cultura Económica, México,  1978, p. 292</w:t>
      </w:r>
    </w:p>
  </w:footnote>
  <w:footnote w:id="2">
    <w:p w:rsidR="00CA767A" w:rsidRDefault="00CA767A" w:rsidP="00CA767A">
      <w:pPr>
        <w:pStyle w:val="Textonotapie"/>
        <w:rPr>
          <w:rFonts w:ascii="Calibri" w:hAnsi="Calibri"/>
          <w:sz w:val="22"/>
          <w:szCs w:val="22"/>
          <w:lang w:val="es-VE"/>
        </w:rPr>
      </w:pPr>
      <w:r>
        <w:rPr>
          <w:rStyle w:val="Refdenotaalpie"/>
        </w:rPr>
        <w:footnoteRef/>
      </w:r>
      <w:r>
        <w:rPr>
          <w:lang w:val="es-VE"/>
        </w:rPr>
        <w:t xml:space="preserve">  Pedro Morandé, “Modernidad y Cultura Latinoamericana,” en </w:t>
      </w:r>
      <w:r>
        <w:rPr>
          <w:u w:val="single"/>
          <w:lang w:val="es-VE"/>
        </w:rPr>
        <w:t>Una experiencia que se hace Escuela</w:t>
      </w:r>
      <w:r>
        <w:rPr>
          <w:lang w:val="es-VE"/>
        </w:rPr>
        <w:t>,” Ediciones Cultura y Fe, Buenos Aires, Argentina, 1989, p. 58</w:t>
      </w:r>
    </w:p>
  </w:footnote>
  <w:footnote w:id="3">
    <w:p w:rsidR="00CA767A" w:rsidRDefault="00CA767A" w:rsidP="00CA767A">
      <w:pPr>
        <w:pStyle w:val="Textonotapie"/>
        <w:rPr>
          <w:lang w:val="es-VE"/>
        </w:rPr>
      </w:pPr>
      <w:r>
        <w:rPr>
          <w:rStyle w:val="Refdenotaalpie"/>
        </w:rPr>
        <w:footnoteRef/>
      </w:r>
      <w:r>
        <w:rPr>
          <w:lang w:val="es-VE"/>
        </w:rPr>
        <w:t xml:space="preserve"> Arcadio Díaz Quiñónez, </w:t>
      </w:r>
      <w:r>
        <w:rPr>
          <w:u w:val="single"/>
          <w:lang w:val="es-VE"/>
        </w:rPr>
        <w:t>Sobre los Principios. Los intelectuales caribeños y la tradición</w:t>
      </w:r>
      <w:r>
        <w:rPr>
          <w:lang w:val="es-VE"/>
        </w:rPr>
        <w:t>. Universidad Nacional de Quilmes, Buenos Aires, 2007,  p. 66.</w:t>
      </w:r>
    </w:p>
  </w:footnote>
  <w:footnote w:id="4">
    <w:p w:rsidR="00CA767A" w:rsidRDefault="00CA767A" w:rsidP="00CA767A">
      <w:pPr>
        <w:pStyle w:val="Textonotapie"/>
        <w:rPr>
          <w:lang w:val="es-VE"/>
        </w:rPr>
      </w:pPr>
      <w:r>
        <w:rPr>
          <w:rStyle w:val="Refdenotaalpie"/>
        </w:rPr>
        <w:footnoteRef/>
      </w:r>
      <w:r>
        <w:rPr>
          <w:lang w:val="es-VE"/>
        </w:rPr>
        <w:t xml:space="preserve"> José Antonio Aguilar, “Dos Conceptos de República,” en</w:t>
      </w:r>
      <w:r>
        <w:rPr>
          <w:i/>
          <w:lang w:val="es-VE"/>
        </w:rPr>
        <w:t xml:space="preserve"> </w:t>
      </w:r>
      <w:r>
        <w:rPr>
          <w:u w:val="single"/>
          <w:lang w:val="es-VE"/>
        </w:rPr>
        <w:t xml:space="preserve">El Republicanismo en Hispanoamérica. Ensayos de historia Intelectual y Política, </w:t>
      </w:r>
      <w:r>
        <w:rPr>
          <w:lang w:val="es-VE"/>
        </w:rPr>
        <w:t>José Antonio Aguilar; compilador. Fondo de Cultura Económica, México,  2002, p. 72</w:t>
      </w:r>
    </w:p>
  </w:footnote>
  <w:footnote w:id="5">
    <w:p w:rsidR="00CA767A" w:rsidRDefault="00CA767A" w:rsidP="00CA767A">
      <w:pPr>
        <w:pStyle w:val="Textonotapie"/>
        <w:rPr>
          <w:lang w:val="es-VE"/>
        </w:rPr>
      </w:pPr>
      <w:r>
        <w:rPr>
          <w:rStyle w:val="Refdenotaalpie"/>
        </w:rPr>
        <w:footnoteRef/>
      </w:r>
      <w:r>
        <w:rPr>
          <w:lang w:val="es-VE"/>
        </w:rPr>
        <w:t xml:space="preserve">  Gordon Word, </w:t>
      </w:r>
      <w:r>
        <w:rPr>
          <w:u w:val="single"/>
          <w:lang w:val="es-VE"/>
        </w:rPr>
        <w:t>The American Revolution</w:t>
      </w:r>
      <w:r>
        <w:rPr>
          <w:lang w:val="es-VE"/>
        </w:rPr>
        <w:t>, Modern Library, New York, 2003.,  pp. 91-105</w:t>
      </w:r>
    </w:p>
  </w:footnote>
  <w:footnote w:id="6">
    <w:p w:rsidR="00CA767A" w:rsidRDefault="00CA767A" w:rsidP="00CA767A">
      <w:pPr>
        <w:pStyle w:val="Textonotapie"/>
        <w:rPr>
          <w:lang w:val="es-VE"/>
        </w:rPr>
      </w:pPr>
      <w:r>
        <w:rPr>
          <w:rStyle w:val="Refdenotaalpie"/>
        </w:rPr>
        <w:footnoteRef/>
      </w:r>
      <w:r>
        <w:rPr>
          <w:lang w:val="es-VE"/>
        </w:rPr>
        <w:t xml:space="preserve"> </w:t>
      </w:r>
      <w:r>
        <w:rPr>
          <w:lang w:val="es-MX"/>
        </w:rPr>
        <w:t xml:space="preserve">Juan Bautista Alberdi, “Ideas para un Curso de Filosofía Contemporánea,” citado por Germán Martínez Argote, “Sobre el Itinerario del Desafío Latinoamericano, </w:t>
      </w:r>
      <w:r>
        <w:rPr>
          <w:u w:val="single"/>
          <w:lang w:val="es-MX"/>
        </w:rPr>
        <w:t>Revista Nexo</w:t>
      </w:r>
      <w:r>
        <w:rPr>
          <w:lang w:val="es-MX"/>
        </w:rPr>
        <w:t>, cuarto Trimestre, diciembre 1987, p. 46)</w:t>
      </w:r>
    </w:p>
  </w:footnote>
  <w:footnote w:id="7">
    <w:p w:rsidR="00CA767A" w:rsidRDefault="00CA767A" w:rsidP="00CA767A">
      <w:pPr>
        <w:pStyle w:val="Textonotapie"/>
        <w:rPr>
          <w:lang w:val="es-VE"/>
        </w:rPr>
      </w:pPr>
      <w:r>
        <w:rPr>
          <w:rStyle w:val="Refdenotaalpie"/>
        </w:rPr>
        <w:footnoteRef/>
      </w:r>
      <w:r>
        <w:rPr>
          <w:lang w:val="es-VE"/>
        </w:rPr>
        <w:t xml:space="preserve">  Charles Hale, “Ideas Sociales y Políticas de América Latina, 1870-1930,” en Leslie Bethell (Compilador) The Cambridge History of Latin America, V. IV, Cambridge University Press, Cambridge, 1989, p. 369.</w:t>
      </w:r>
    </w:p>
  </w:footnote>
  <w:footnote w:id="8">
    <w:p w:rsidR="00CA767A" w:rsidRDefault="00CA767A" w:rsidP="00CA767A">
      <w:pPr>
        <w:pStyle w:val="Textonotapie"/>
        <w:rPr>
          <w:lang w:val="es-VE"/>
        </w:rPr>
      </w:pPr>
      <w:r>
        <w:rPr>
          <w:rStyle w:val="Refdenotaalpie"/>
        </w:rPr>
        <w:footnoteRef/>
      </w:r>
      <w:r>
        <w:rPr>
          <w:lang w:val="es-VE"/>
        </w:rPr>
        <w:t xml:space="preserve">  Francisco Bazán,  </w:t>
      </w:r>
      <w:r>
        <w:rPr>
          <w:u w:val="single"/>
          <w:lang w:val="es-VE"/>
        </w:rPr>
        <w:t>Eligio Ayala, El Pensador</w:t>
      </w:r>
      <w:r>
        <w:rPr>
          <w:lang w:val="es-VE"/>
        </w:rPr>
        <w:t>,  Editorial Curupí,  1975, p. 133.</w:t>
      </w:r>
    </w:p>
  </w:footnote>
  <w:footnote w:id="9">
    <w:p w:rsidR="00CA767A" w:rsidRDefault="00CA767A" w:rsidP="00CA767A">
      <w:pPr>
        <w:pStyle w:val="Textonotapie"/>
        <w:rPr>
          <w:lang w:val="es-VE"/>
        </w:rPr>
      </w:pPr>
      <w:r>
        <w:rPr>
          <w:rStyle w:val="Refdenotaalpie"/>
        </w:rPr>
        <w:footnoteRef/>
      </w:r>
      <w:r>
        <w:rPr>
          <w:lang w:val="es-VE"/>
        </w:rPr>
        <w:t xml:space="preserve">  Eligio Ayala, “Mis Principios Capitales, “citado por Bazán, op. cit., p. 127.</w:t>
      </w:r>
    </w:p>
  </w:footnote>
  <w:footnote w:id="10">
    <w:p w:rsidR="00CA767A" w:rsidRDefault="00CA767A" w:rsidP="00CA767A">
      <w:pPr>
        <w:pStyle w:val="Textonotapie"/>
        <w:rPr>
          <w:lang w:val="es-VE"/>
        </w:rPr>
      </w:pPr>
      <w:r>
        <w:rPr>
          <w:rStyle w:val="Refdenotaalpie"/>
        </w:rPr>
        <w:footnoteRef/>
      </w:r>
      <w:r>
        <w:rPr>
          <w:lang w:val="es-VE"/>
        </w:rPr>
        <w:t xml:space="preserve"> Germán Martínez Argote,  “Itinerario del desafío Latinoamericano,” </w:t>
      </w:r>
      <w:r>
        <w:rPr>
          <w:u w:val="single"/>
          <w:lang w:val="es-VE"/>
        </w:rPr>
        <w:t>Revista Nexo</w:t>
      </w:r>
      <w:r>
        <w:rPr>
          <w:lang w:val="es-VE"/>
        </w:rPr>
        <w:t xml:space="preserve">, Cuarto Trimestre Nexo. Diciembre 1987, p. 47. </w:t>
      </w:r>
    </w:p>
  </w:footnote>
  <w:footnote w:id="11">
    <w:p w:rsidR="00CA767A" w:rsidRDefault="00CA767A" w:rsidP="00CA767A">
      <w:pPr>
        <w:pStyle w:val="Textonotapie"/>
        <w:rPr>
          <w:lang w:val="es-VE"/>
        </w:rPr>
      </w:pPr>
      <w:r>
        <w:rPr>
          <w:rStyle w:val="Refdenotaalpie"/>
        </w:rPr>
        <w:footnoteRef/>
      </w:r>
      <w:r>
        <w:rPr>
          <w:lang w:val="es-VE"/>
        </w:rPr>
        <w:t xml:space="preserve">  Ídem</w:t>
      </w:r>
    </w:p>
  </w:footnote>
  <w:footnote w:id="12">
    <w:p w:rsidR="00CA767A" w:rsidRPr="009A75F5" w:rsidRDefault="00CA767A" w:rsidP="00CA767A">
      <w:pPr>
        <w:pStyle w:val="Textonotapie"/>
        <w:rPr>
          <w:lang w:val="es-VE"/>
        </w:rPr>
      </w:pPr>
      <w:r>
        <w:rPr>
          <w:rStyle w:val="Refdenotaalpie"/>
        </w:rPr>
        <w:footnoteRef/>
      </w:r>
      <w:r>
        <w:rPr>
          <w:lang w:val="es-VE"/>
        </w:rPr>
        <w:t xml:space="preserve">  Hugo Rodríguez Alcalá, p. 45. Léase el excelente análisis del gran literato paraguayo al respecto de la postura de Korn.  </w:t>
      </w:r>
      <w:r>
        <w:t xml:space="preserve">Op. cit. P. 40. </w:t>
      </w:r>
    </w:p>
  </w:footnote>
  <w:footnote w:id="13">
    <w:p w:rsidR="00CA767A" w:rsidRDefault="00CA767A" w:rsidP="00CA767A">
      <w:pPr>
        <w:pStyle w:val="Textonotapie"/>
        <w:rPr>
          <w:lang w:val="es-VE"/>
        </w:rPr>
      </w:pPr>
      <w:r>
        <w:rPr>
          <w:rStyle w:val="Refdenotaalpie"/>
        </w:rPr>
        <w:footnoteRef/>
      </w:r>
      <w:r>
        <w:rPr>
          <w:lang w:val="es-VE"/>
        </w:rPr>
        <w:t xml:space="preserve"> “</w:t>
      </w:r>
      <w:r>
        <w:rPr>
          <w:lang w:val="es-MX"/>
        </w:rPr>
        <w:t>Sobre el americanismo filosófico. La teoría de J.B. Alberdi renovada por Alejandro Korn,” Hugo Rodríguez Alcalá.  p. 40,</w:t>
      </w:r>
    </w:p>
  </w:footnote>
  <w:footnote w:id="14">
    <w:p w:rsidR="00CA767A" w:rsidRDefault="00CA767A" w:rsidP="00CA767A">
      <w:pPr>
        <w:pStyle w:val="Textonotapie"/>
        <w:rPr>
          <w:lang w:val="es-VE"/>
        </w:rPr>
      </w:pPr>
      <w:r>
        <w:rPr>
          <w:rStyle w:val="Refdenotaalpie"/>
        </w:rPr>
        <w:footnoteRef/>
      </w:r>
      <w:r>
        <w:rPr>
          <w:lang w:val="es-VE"/>
        </w:rPr>
        <w:t xml:space="preserve">  Bazán, op. cit.,  pagina 133</w:t>
      </w:r>
    </w:p>
  </w:footnote>
  <w:footnote w:id="15">
    <w:p w:rsidR="00CA767A" w:rsidRDefault="00CA767A" w:rsidP="00CA767A">
      <w:pPr>
        <w:pStyle w:val="Textonotapie"/>
        <w:rPr>
          <w:lang w:val="es-VE"/>
        </w:rPr>
      </w:pPr>
      <w:r>
        <w:rPr>
          <w:rStyle w:val="Refdenotaalpie"/>
        </w:rPr>
        <w:footnoteRef/>
      </w:r>
      <w:r>
        <w:rPr>
          <w:lang w:val="es-VE"/>
        </w:rPr>
        <w:t xml:space="preserve">  Ibídem, p. 134</w:t>
      </w:r>
    </w:p>
  </w:footnote>
  <w:footnote w:id="16">
    <w:p w:rsidR="00CA767A" w:rsidRDefault="00CA767A" w:rsidP="00CA767A">
      <w:pPr>
        <w:pStyle w:val="Textonotapie"/>
        <w:rPr>
          <w:lang w:val="es-VE"/>
        </w:rPr>
      </w:pPr>
      <w:r>
        <w:rPr>
          <w:rStyle w:val="Refdenotaalpie"/>
        </w:rPr>
        <w:footnoteRef/>
      </w:r>
      <w:r>
        <w:rPr>
          <w:lang w:val="es-VE"/>
        </w:rPr>
        <w:t xml:space="preserve">  Ídem.</w:t>
      </w:r>
    </w:p>
  </w:footnote>
  <w:footnote w:id="17">
    <w:p w:rsidR="00CA767A" w:rsidRDefault="00CA767A" w:rsidP="00CA767A">
      <w:pPr>
        <w:pStyle w:val="Textonotapie"/>
        <w:rPr>
          <w:rFonts w:ascii="Calibri" w:hAnsi="Calibri"/>
          <w:sz w:val="22"/>
          <w:szCs w:val="22"/>
          <w:lang w:val="es-VE"/>
        </w:rPr>
      </w:pPr>
      <w:r>
        <w:rPr>
          <w:rStyle w:val="Refdenotaalpie"/>
        </w:rPr>
        <w:footnoteRef/>
      </w:r>
      <w:r>
        <w:rPr>
          <w:lang w:val="es-VE"/>
        </w:rPr>
        <w:t xml:space="preserve">  Bazán, o. cit., p. 157</w:t>
      </w:r>
    </w:p>
  </w:footnote>
  <w:footnote w:id="18">
    <w:p w:rsidR="00CA767A" w:rsidRDefault="00CA767A" w:rsidP="00CA767A">
      <w:pPr>
        <w:pStyle w:val="Textonotapie"/>
        <w:rPr>
          <w:lang w:val="es-VE"/>
        </w:rPr>
      </w:pPr>
      <w:r>
        <w:rPr>
          <w:rStyle w:val="Refdenotaalpie"/>
        </w:rPr>
        <w:footnoteRef/>
      </w:r>
      <w:r>
        <w:rPr>
          <w:lang w:val="es-VE"/>
        </w:rPr>
        <w:t xml:space="preserve">  Víctor Natalicio. Vasconcellos, </w:t>
      </w:r>
      <w:r>
        <w:rPr>
          <w:u w:val="single"/>
          <w:lang w:val="es-VE"/>
        </w:rPr>
        <w:t>Lecciones de Historia Paraguaya</w:t>
      </w:r>
      <w:r>
        <w:rPr>
          <w:lang w:val="es-VE"/>
        </w:rPr>
        <w:t>, Imprenta Comuneros, Asunción, Paraguay, 1978 pagina 135</w:t>
      </w:r>
    </w:p>
  </w:footnote>
  <w:footnote w:id="19">
    <w:p w:rsidR="00CA767A" w:rsidRDefault="00CA767A" w:rsidP="00CA767A">
      <w:pPr>
        <w:pStyle w:val="Textonotapie"/>
        <w:rPr>
          <w:lang w:val="es-VE"/>
        </w:rPr>
      </w:pPr>
      <w:r>
        <w:rPr>
          <w:rStyle w:val="Refdenotaalpie"/>
        </w:rPr>
        <w:footnoteRef/>
      </w:r>
      <w:r>
        <w:rPr>
          <w:lang w:val="es-VE"/>
        </w:rPr>
        <w:t xml:space="preserve">  Francisco Bilbao en “La América en peligro 1862,” citado por Zea, Leopoldo, en </w:t>
      </w:r>
      <w:r>
        <w:rPr>
          <w:u w:val="single"/>
          <w:lang w:val="es-VE"/>
        </w:rPr>
        <w:t>El Pensamiento Americano</w:t>
      </w:r>
      <w:r>
        <w:rPr>
          <w:lang w:val="es-VE"/>
        </w:rPr>
        <w:t>, op. cit.,  p. 106.</w:t>
      </w:r>
    </w:p>
  </w:footnote>
  <w:footnote w:id="20">
    <w:p w:rsidR="00CA767A" w:rsidRDefault="00CA767A" w:rsidP="00CA767A">
      <w:pPr>
        <w:pStyle w:val="Textonotapie"/>
        <w:rPr>
          <w:lang w:val="es-VE"/>
        </w:rPr>
      </w:pPr>
      <w:r>
        <w:rPr>
          <w:rStyle w:val="Refdenotaalpie"/>
        </w:rPr>
        <w:footnoteRef/>
      </w:r>
      <w:r>
        <w:rPr>
          <w:lang w:val="es-VE"/>
        </w:rPr>
        <w:t xml:space="preserve">  Ibídem,  p. 110.</w:t>
      </w:r>
    </w:p>
  </w:footnote>
  <w:footnote w:id="21">
    <w:p w:rsidR="00CA767A" w:rsidRDefault="00CA767A" w:rsidP="00CA767A">
      <w:pPr>
        <w:pStyle w:val="Textonotapie"/>
        <w:rPr>
          <w:lang w:val="en-US"/>
        </w:rPr>
      </w:pPr>
      <w:r>
        <w:rPr>
          <w:rStyle w:val="Refdenotaalpie"/>
        </w:rPr>
        <w:footnoteRef/>
      </w:r>
      <w:r>
        <w:rPr>
          <w:lang w:val="es-VE"/>
        </w:rPr>
        <w:t xml:space="preserve"> Michael J. Sandel, </w:t>
      </w:r>
      <w:r>
        <w:rPr>
          <w:u w:val="single"/>
          <w:lang w:val="es-VE"/>
        </w:rPr>
        <w:t xml:space="preserve">Justice. </w:t>
      </w:r>
      <w:r w:rsidRPr="009A75F5">
        <w:rPr>
          <w:u w:val="single"/>
          <w:lang w:val="en-US"/>
        </w:rPr>
        <w:t xml:space="preserve">What’s the Right Thing to do? </w:t>
      </w:r>
      <w:r w:rsidRPr="009A75F5">
        <w:rPr>
          <w:lang w:val="en-US"/>
        </w:rPr>
        <w:t xml:space="preserve"> , Farrar, Strauss and Giroux, New York, 2009, p. 263.</w:t>
      </w:r>
    </w:p>
  </w:footnote>
  <w:footnote w:id="22">
    <w:p w:rsidR="00CA767A" w:rsidRDefault="00CA767A" w:rsidP="00CA767A">
      <w:pPr>
        <w:pStyle w:val="Textonotapie"/>
      </w:pPr>
      <w:r>
        <w:rPr>
          <w:rStyle w:val="Refdenotaalpie"/>
        </w:rPr>
        <w:footnoteRef/>
      </w:r>
      <w:r>
        <w:rPr>
          <w:lang w:val="es-VE"/>
        </w:rPr>
        <w:t xml:space="preserve">  Ibídem, </w:t>
      </w:r>
      <w:r>
        <w:rPr>
          <w:lang w:val="es-MX"/>
        </w:rPr>
        <w:t xml:space="preserve">p. 264. </w:t>
      </w:r>
    </w:p>
  </w:footnote>
  <w:footnote w:id="23">
    <w:p w:rsidR="00CA767A" w:rsidRDefault="00CA767A" w:rsidP="00CA767A">
      <w:pPr>
        <w:spacing w:before="100" w:beforeAutospacing="1" w:after="100" w:afterAutospacing="1" w:line="240" w:lineRule="auto"/>
        <w:rPr>
          <w:rFonts w:ascii="Times New Roman" w:hAnsi="Times New Roman"/>
          <w:sz w:val="20"/>
          <w:szCs w:val="20"/>
          <w:lang w:val="es-PY"/>
        </w:rPr>
      </w:pPr>
      <w:r>
        <w:rPr>
          <w:rStyle w:val="Refdenotaalpie"/>
        </w:rPr>
        <w:footnoteRef/>
      </w:r>
      <w:r>
        <w:rPr>
          <w:rFonts w:ascii="Times New Roman" w:hAnsi="Times New Roman"/>
          <w:sz w:val="20"/>
          <w:szCs w:val="20"/>
          <w:lang w:val="es-ES"/>
        </w:rPr>
        <w:t xml:space="preserve"> </w:t>
      </w:r>
      <w:r>
        <w:rPr>
          <w:rFonts w:ascii="Times New Roman" w:hAnsi="Times New Roman"/>
          <w:sz w:val="20"/>
          <w:szCs w:val="20"/>
          <w:lang w:val="es-PY"/>
        </w:rPr>
        <w:t xml:space="preserve"> Sobre este tema, ver Lucio Gera, </w:t>
      </w:r>
      <w:r>
        <w:rPr>
          <w:rFonts w:ascii="Times New Roman" w:hAnsi="Times New Roman"/>
          <w:sz w:val="20"/>
          <w:szCs w:val="20"/>
          <w:u w:val="single"/>
          <w:lang w:val="es-PY"/>
        </w:rPr>
        <w:t>Revista Nexo</w:t>
      </w:r>
      <w:r>
        <w:rPr>
          <w:rFonts w:ascii="Times New Roman" w:hAnsi="Times New Roman"/>
          <w:sz w:val="20"/>
          <w:szCs w:val="20"/>
          <w:lang w:val="es-PY"/>
        </w:rPr>
        <w:t>, Tercer y Cuarto Trimestre, 1985, p. 22.</w:t>
      </w:r>
    </w:p>
  </w:footnote>
  <w:footnote w:id="24">
    <w:p w:rsidR="00CA767A" w:rsidRDefault="00CA767A" w:rsidP="00CA767A">
      <w:pPr>
        <w:pStyle w:val="Textonotapie"/>
      </w:pPr>
      <w:r>
        <w:rPr>
          <w:rStyle w:val="Refdenotaalpie"/>
        </w:rPr>
        <w:footnoteRef/>
      </w:r>
      <w:r>
        <w:t xml:space="preserve">  Bazán, op. cit., p. 108.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767A"/>
    <w:rsid w:val="00241D1D"/>
    <w:rsid w:val="00CA767A"/>
    <w:rsid w:val="00F1076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15867"/>
  <w15:chartTrackingRefBased/>
  <w15:docId w15:val="{5420011C-1DA2-451F-B7BB-7D7EAA978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767A"/>
    <w:pPr>
      <w:spacing w:after="0" w:line="360" w:lineRule="auto"/>
      <w:jc w:val="both"/>
    </w:pPr>
    <w:rPr>
      <w:rFonts w:ascii="Calibri" w:eastAsia="Calibri" w:hAnsi="Calibri"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CA767A"/>
    <w:pPr>
      <w:spacing w:after="0" w:line="240" w:lineRule="auto"/>
      <w:jc w:val="both"/>
    </w:pPr>
    <w:rPr>
      <w:rFonts w:ascii="Calibri" w:eastAsia="Calibri" w:hAnsi="Calibri" w:cs="Times New Roman"/>
      <w:lang w:val="en-US"/>
    </w:rPr>
  </w:style>
  <w:style w:type="paragraph" w:styleId="NormalWeb">
    <w:name w:val="Normal (Web)"/>
    <w:basedOn w:val="Normal"/>
    <w:uiPriority w:val="99"/>
    <w:semiHidden/>
    <w:unhideWhenUsed/>
    <w:rsid w:val="00CA767A"/>
    <w:pPr>
      <w:spacing w:before="100" w:beforeAutospacing="1" w:after="100" w:afterAutospacing="1" w:line="240" w:lineRule="auto"/>
      <w:jc w:val="left"/>
    </w:pPr>
    <w:rPr>
      <w:rFonts w:ascii="Times New Roman" w:eastAsiaTheme="minorEastAsia" w:hAnsi="Times New Roman"/>
      <w:sz w:val="24"/>
      <w:szCs w:val="24"/>
      <w:lang w:val="es-MX" w:eastAsia="es-MX"/>
    </w:rPr>
  </w:style>
  <w:style w:type="paragraph" w:styleId="Textonotapie">
    <w:name w:val="footnote text"/>
    <w:basedOn w:val="Normal"/>
    <w:link w:val="TextonotapieCar"/>
    <w:uiPriority w:val="99"/>
    <w:rsid w:val="00CA767A"/>
    <w:pPr>
      <w:spacing w:line="240" w:lineRule="auto"/>
      <w:jc w:val="left"/>
    </w:pPr>
    <w:rPr>
      <w:rFonts w:ascii="Times New Roman" w:eastAsia="Times New Roman" w:hAnsi="Times New Roman"/>
      <w:sz w:val="20"/>
      <w:szCs w:val="20"/>
      <w:lang w:val="es-ES" w:eastAsia="es-ES"/>
    </w:rPr>
  </w:style>
  <w:style w:type="character" w:customStyle="1" w:styleId="TextonotapieCar">
    <w:name w:val="Texto nota pie Car"/>
    <w:basedOn w:val="Fuentedeprrafopredeter"/>
    <w:link w:val="Textonotapie"/>
    <w:uiPriority w:val="99"/>
    <w:rsid w:val="00CA767A"/>
    <w:rPr>
      <w:rFonts w:ascii="Times New Roman" w:eastAsia="Times New Roman" w:hAnsi="Times New Roman" w:cs="Times New Roman"/>
      <w:sz w:val="20"/>
      <w:szCs w:val="20"/>
      <w:lang w:val="es-ES" w:eastAsia="es-ES"/>
    </w:rPr>
  </w:style>
  <w:style w:type="character" w:styleId="Refdenotaalpie">
    <w:name w:val="footnote reference"/>
    <w:rsid w:val="00CA767A"/>
    <w:rPr>
      <w:vertAlign w:val="superscript"/>
    </w:rPr>
  </w:style>
  <w:style w:type="character" w:styleId="Refdenotaalfinal">
    <w:name w:val="endnote reference"/>
    <w:uiPriority w:val="99"/>
    <w:semiHidden/>
    <w:rsid w:val="00CA767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5251</Words>
  <Characters>28881</Characters>
  <Application>Microsoft Office Word</Application>
  <DocSecurity>0</DocSecurity>
  <Lines>240</Lines>
  <Paragraphs>68</Paragraphs>
  <ScaleCrop>false</ScaleCrop>
  <Company/>
  <LinksUpToDate>false</LinksUpToDate>
  <CharactersWithSpaces>34064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Carlos</dc:creator>
  <cp:keywords/>
  <dc:description/>
  <cp:lastModifiedBy>Jose Carlos</cp:lastModifiedBy>
  <cp:revision>1</cp:revision>
  <dcterms:created xsi:type="dcterms:W3CDTF">2025-10-27T18:20:00Z</dcterms:created>
  <dcterms:modified xsi:type="dcterms:W3CDTF">2025-10-27T18:22:00Z</dcterms:modified>
</cp:coreProperties>
</file>